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269"/>
        <w:jc w:val="center"/>
        <w:rPr>
          <w:rFonts w:hint="default" w:ascii="Times New Roman" w:hAnsi="Times New Roman" w:cs="Times New Roman"/>
          <w:sz w:val="21"/>
          <w:szCs w:val="21"/>
        </w:rPr>
      </w:pPr>
    </w:p>
    <w:p>
      <w:pPr>
        <w:pStyle w:val="2"/>
        <w:keepNext w:val="0"/>
        <w:keepLines w:val="0"/>
        <w:widowControl/>
        <w:suppressLineNumbers w:val="0"/>
        <w:spacing w:before="0" w:beforeAutospacing="0" w:after="0" w:afterAutospacing="0" w:line="432" w:lineRule="atLeast"/>
        <w:ind w:left="0" w:right="960" w:firstLine="480"/>
        <w:jc w:val="both"/>
        <w:rPr>
          <w:rFonts w:hint="default" w:ascii="Times New Roman" w:hAnsi="Times New Roman" w:cs="Times New Roman"/>
          <w:sz w:val="21"/>
          <w:szCs w:val="21"/>
        </w:rPr>
      </w:pPr>
      <w:r>
        <w:rPr>
          <w:rFonts w:ascii="仿宋" w:hAnsi="仿宋" w:eastAsia="仿宋" w:cs="仿宋"/>
          <w:color w:val="FF0000"/>
          <w:sz w:val="32"/>
          <w:szCs w:val="32"/>
          <w:shd w:val="clear" w:fill="FFFFFF"/>
        </w:rPr>
        <w:t> </w:t>
      </w:r>
    </w:p>
    <w:p>
      <w:pPr>
        <w:pStyle w:val="2"/>
        <w:keepNext w:val="0"/>
        <w:keepLines w:val="0"/>
        <w:widowControl/>
        <w:suppressLineNumbers w:val="0"/>
        <w:spacing w:before="0" w:beforeAutospacing="0" w:after="0" w:afterAutospacing="0" w:line="432" w:lineRule="atLeast"/>
        <w:ind w:left="0" w:right="960" w:firstLine="480"/>
        <w:jc w:val="both"/>
        <w:rPr>
          <w:rFonts w:hint="default" w:ascii="Times New Roman" w:hAnsi="Times New Roman" w:cs="Times New Roman"/>
          <w:sz w:val="21"/>
          <w:szCs w:val="21"/>
        </w:rPr>
      </w:pPr>
      <w:r>
        <w:rPr>
          <w:rFonts w:hint="eastAsia" w:ascii="仿宋" w:hAnsi="仿宋" w:eastAsia="仿宋" w:cs="仿宋"/>
          <w:color w:val="000000"/>
          <w:sz w:val="32"/>
          <w:szCs w:val="32"/>
          <w:shd w:val="clear" w:fill="FFFFFF"/>
        </w:rPr>
        <w:t>本报告依据《中华人民共和国政府信息公开条例》（国务院令第711号）、《国务院办公厅政府信息与政务公开办公室关于政府信息公开工作年度报告有关事项的通知》（国办公开办函〔2019〕60号）及《安徽省人民政府办公厅关于做好2019年度政府信息公开工作年度报告及统计数据报送有关工作的通知》（皖政务办秘〔2019〕43号）要求，结合我单位政府信息公开工作有关统计数据撰写。报告主要包括：总体情况、主动公开政府信息情况、收到和处理政府信息公开申请情况、因政府信息公开被申请行政复议和提起行政诉讼情况、政府信息公开工作存在主要问题及改进情况和其</w:t>
      </w:r>
      <w:bookmarkStart w:id="0" w:name="_GoBack"/>
      <w:bookmarkEnd w:id="0"/>
      <w:r>
        <w:rPr>
          <w:rFonts w:hint="eastAsia" w:ascii="仿宋" w:hAnsi="仿宋" w:eastAsia="仿宋" w:cs="仿宋"/>
          <w:color w:val="000000"/>
          <w:sz w:val="32"/>
          <w:szCs w:val="32"/>
          <w:shd w:val="clear" w:fill="FFFFFF"/>
        </w:rPr>
        <w:t>他需要报告事项等6项内容。本报告中使用数据统计期限为2019年1月1日至12月31日。如对本报告有任何疑问，请与淮南市自然资源和规划局办公室联系（地址：淮南市田家庵区朝阳东路229号，电话0554-2699100，邮编：212001）。</w:t>
      </w:r>
    </w:p>
    <w:p>
      <w:pPr>
        <w:pStyle w:val="2"/>
        <w:keepNext w:val="0"/>
        <w:keepLines w:val="0"/>
        <w:widowControl/>
        <w:suppressLineNumbers w:val="0"/>
        <w:spacing w:before="0" w:beforeAutospacing="0" w:after="0" w:afterAutospacing="0" w:line="432" w:lineRule="atLeast"/>
        <w:ind w:left="0" w:right="0" w:firstLine="480"/>
        <w:jc w:val="both"/>
        <w:rPr>
          <w:sz w:val="21"/>
          <w:szCs w:val="21"/>
        </w:rPr>
      </w:pPr>
      <w:r>
        <w:rPr>
          <w:rFonts w:ascii="黑体" w:hAnsi="宋体" w:eastAsia="黑体" w:cs="黑体"/>
          <w:color w:val="000000"/>
          <w:sz w:val="32"/>
          <w:szCs w:val="32"/>
        </w:rPr>
        <w:t>一、总体情况</w:t>
      </w:r>
    </w:p>
    <w:p>
      <w:pPr>
        <w:pStyle w:val="2"/>
        <w:keepNext w:val="0"/>
        <w:keepLines w:val="0"/>
        <w:widowControl/>
        <w:suppressLineNumbers w:val="0"/>
        <w:spacing w:before="0" w:beforeAutospacing="0" w:after="0" w:afterAutospacing="0" w:line="432" w:lineRule="atLeast"/>
        <w:ind w:left="0" w:right="0" w:firstLine="480"/>
        <w:jc w:val="both"/>
        <w:rPr>
          <w:rFonts w:hint="default" w:ascii="Times New Roman" w:hAnsi="Times New Roman" w:cs="Times New Roman"/>
          <w:sz w:val="21"/>
          <w:szCs w:val="21"/>
        </w:rPr>
      </w:pPr>
      <w:r>
        <w:rPr>
          <w:rFonts w:hint="eastAsia" w:ascii="仿宋" w:hAnsi="仿宋" w:eastAsia="仿宋" w:cs="仿宋"/>
          <w:color w:val="000000"/>
          <w:sz w:val="32"/>
          <w:szCs w:val="32"/>
        </w:rPr>
        <w:t>2019年，我局进一步贯彻实施《中华人民共和国政府信息公开条例》和《国务院办公厅政府信息与政务公开办公室关于政府信息公开工作年度报告有关事项的通知》，对照相关要求，一年来在市政务公开办的指导帮助下，以提升政务公开质量和实效为主线，创新工作方式，完善制度规范，全局政务公开标准化、规范化建设取得明显成效。</w:t>
      </w:r>
    </w:p>
    <w:p>
      <w:pPr>
        <w:pStyle w:val="2"/>
        <w:keepNext w:val="0"/>
        <w:keepLines w:val="0"/>
        <w:widowControl/>
        <w:suppressLineNumbers w:val="0"/>
        <w:spacing w:before="0" w:beforeAutospacing="0" w:after="0" w:afterAutospacing="0" w:line="432" w:lineRule="atLeast"/>
        <w:ind w:left="0" w:right="0" w:firstLine="480"/>
        <w:jc w:val="both"/>
        <w:rPr>
          <w:rFonts w:hint="default" w:ascii="Times New Roman" w:hAnsi="Times New Roman" w:cs="Times New Roman"/>
          <w:sz w:val="21"/>
          <w:szCs w:val="21"/>
        </w:rPr>
      </w:pPr>
      <w:r>
        <w:rPr>
          <w:rFonts w:hint="eastAsia" w:ascii="仿宋" w:hAnsi="仿宋" w:eastAsia="仿宋" w:cs="仿宋"/>
          <w:b/>
          <w:bCs/>
          <w:color w:val="000000"/>
          <w:sz w:val="32"/>
          <w:szCs w:val="32"/>
        </w:rPr>
        <w:t>（一）主动公开情况</w:t>
      </w:r>
    </w:p>
    <w:p>
      <w:pPr>
        <w:pStyle w:val="2"/>
        <w:keepNext w:val="0"/>
        <w:keepLines w:val="0"/>
        <w:widowControl/>
        <w:suppressLineNumbers w:val="0"/>
        <w:spacing w:before="0" w:beforeAutospacing="0" w:after="0" w:afterAutospacing="0" w:line="432" w:lineRule="atLeast"/>
        <w:ind w:left="0" w:right="0" w:firstLine="480"/>
        <w:jc w:val="both"/>
        <w:rPr>
          <w:rFonts w:hint="default" w:ascii="Times New Roman" w:hAnsi="Times New Roman" w:cs="Times New Roman"/>
          <w:sz w:val="21"/>
          <w:szCs w:val="21"/>
        </w:rPr>
      </w:pPr>
      <w:r>
        <w:rPr>
          <w:rFonts w:hint="eastAsia" w:ascii="仿宋" w:hAnsi="仿宋" w:eastAsia="仿宋" w:cs="仿宋"/>
          <w:color w:val="000000"/>
          <w:sz w:val="32"/>
          <w:szCs w:val="32"/>
          <w:shd w:val="clear" w:fill="FFFFFF"/>
        </w:rPr>
        <w:t>2019年度，我局</w:t>
      </w:r>
      <w:r>
        <w:rPr>
          <w:rFonts w:hint="eastAsia" w:ascii="仿宋" w:hAnsi="仿宋" w:eastAsia="仿宋" w:cs="仿宋"/>
          <w:color w:val="000000"/>
          <w:sz w:val="32"/>
          <w:szCs w:val="32"/>
          <w:shd w:val="clear" w:fill="FFFFFF"/>
          <w:lang w:eastAsia="zh-CN"/>
        </w:rPr>
        <w:t>政府信息公开平台</w:t>
      </w:r>
      <w:r>
        <w:rPr>
          <w:rFonts w:hint="eastAsia" w:ascii="仿宋" w:hAnsi="仿宋" w:eastAsia="仿宋" w:cs="仿宋"/>
          <w:color w:val="000000"/>
          <w:sz w:val="32"/>
          <w:szCs w:val="32"/>
          <w:shd w:val="clear" w:fill="FFFFFF"/>
        </w:rPr>
        <w:t xml:space="preserve">目录下公开信息共计2263条。发布行政权力运行类信息260条；招标采购和财政预决算类信息7条；重大项目建设信息公开276条；国有建设用地使用权出让类信息244条。发布政府文件政策解读36条，其中本级政策解读27条，包括负责人解读和部门解读，解读形式包括文字图片视频等；发布回应关切信息50条。 </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宋体" w:hAnsi="宋体" w:eastAsia="宋体" w:cs="宋体"/>
          <w:sz w:val="24"/>
          <w:szCs w:val="24"/>
        </w:rPr>
      </w:pPr>
      <w:r>
        <w:rPr>
          <w:rFonts w:hint="eastAsia" w:ascii="仿宋" w:hAnsi="仿宋" w:eastAsia="仿宋" w:cs="仿宋"/>
          <w:b/>
          <w:bCs/>
          <w:color w:val="000000"/>
          <w:sz w:val="32"/>
          <w:szCs w:val="32"/>
          <w:shd w:val="clear" w:fill="FFFFFF"/>
        </w:rPr>
        <w:t>（二）受理依申请公开情况</w:t>
      </w:r>
      <w:r>
        <w:rPr>
          <w:rFonts w:ascii="Calibri" w:hAnsi="Calibri" w:eastAsia="宋体" w:cs="Calibri"/>
          <w:b/>
          <w:bCs/>
          <w:color w:val="000000"/>
          <w:sz w:val="32"/>
          <w:szCs w:val="32"/>
          <w:shd w:val="clear" w:fill="FFFFFF"/>
        </w:rPr>
        <w:t> </w:t>
      </w:r>
    </w:p>
    <w:p>
      <w:pPr>
        <w:pStyle w:val="2"/>
        <w:keepNext w:val="0"/>
        <w:keepLines w:val="0"/>
        <w:widowControl/>
        <w:suppressLineNumbers w:val="0"/>
        <w:shd w:val="clear" w:fill="FFFFFF"/>
        <w:spacing w:line="600" w:lineRule="atLeast"/>
        <w:ind w:left="0" w:right="0" w:firstLine="640"/>
        <w:rPr>
          <w:rFonts w:hint="eastAsia" w:ascii="宋体" w:hAnsi="宋体" w:eastAsia="宋体" w:cs="宋体"/>
          <w:sz w:val="24"/>
          <w:szCs w:val="24"/>
        </w:rPr>
      </w:pPr>
      <w:r>
        <w:rPr>
          <w:rFonts w:hint="eastAsia" w:ascii="仿宋" w:hAnsi="仿宋" w:eastAsia="仿宋" w:cs="仿宋"/>
          <w:color w:val="000000"/>
          <w:sz w:val="32"/>
          <w:szCs w:val="32"/>
          <w:shd w:val="clear" w:fill="FFFFFF"/>
        </w:rPr>
        <w:t xml:space="preserve">2019年我局依申请公开的信息数为45条。其中纸质34件（省厅转办2件，市政府转办1件），网上11件。 </w:t>
      </w:r>
    </w:p>
    <w:p>
      <w:pPr>
        <w:pStyle w:val="2"/>
        <w:keepNext w:val="0"/>
        <w:keepLines w:val="0"/>
        <w:widowControl/>
        <w:suppressLineNumbers w:val="0"/>
        <w:shd w:val="clear" w:fill="FFFFFF"/>
        <w:spacing w:before="0" w:beforeAutospacing="0" w:after="0" w:afterAutospacing="0" w:line="420" w:lineRule="atLeast"/>
        <w:ind w:left="0" w:right="0" w:firstLine="640"/>
        <w:jc w:val="both"/>
        <w:rPr>
          <w:rFonts w:hint="eastAsia" w:ascii="宋体" w:hAnsi="宋体" w:eastAsia="宋体" w:cs="宋体"/>
          <w:sz w:val="24"/>
          <w:szCs w:val="24"/>
        </w:rPr>
      </w:pPr>
      <w:r>
        <w:rPr>
          <w:rFonts w:hint="eastAsia" w:ascii="仿宋" w:hAnsi="仿宋" w:eastAsia="仿宋" w:cs="仿宋"/>
          <w:b/>
          <w:bCs/>
          <w:color w:val="000000"/>
          <w:sz w:val="32"/>
          <w:szCs w:val="32"/>
          <w:shd w:val="clear" w:fill="FFFFFF"/>
        </w:rPr>
        <w:t>（三）政务信息管理</w:t>
      </w:r>
    </w:p>
    <w:p>
      <w:pPr>
        <w:pStyle w:val="2"/>
        <w:keepNext w:val="0"/>
        <w:keepLines w:val="0"/>
        <w:widowControl/>
        <w:suppressLineNumbers w:val="0"/>
        <w:shd w:val="clear" w:fill="FFFFFF"/>
        <w:spacing w:before="0" w:beforeAutospacing="0" w:after="0" w:afterAutospacing="0" w:line="600" w:lineRule="atLeast"/>
        <w:ind w:left="0" w:right="0" w:firstLine="640"/>
        <w:jc w:val="both"/>
        <w:rPr>
          <w:rFonts w:hint="eastAsia" w:ascii="宋体" w:hAnsi="宋体" w:eastAsia="宋体" w:cs="宋体"/>
          <w:sz w:val="24"/>
          <w:szCs w:val="24"/>
        </w:rPr>
      </w:pPr>
      <w:r>
        <w:rPr>
          <w:rFonts w:hint="eastAsia" w:ascii="仿宋" w:hAnsi="仿宋" w:eastAsia="仿宋" w:cs="仿宋"/>
          <w:color w:val="000000"/>
          <w:sz w:val="32"/>
          <w:szCs w:val="32"/>
          <w:shd w:val="clear" w:fill="FFFFFF"/>
        </w:rPr>
        <w:t>为保证政府信息公开顺利实施，我局成立了由局主要负责人担任组长的政务公开领导小组，明确局办公室为政务公开工作责任科室，为政府信息公开提供了强有力的组织保障。</w:t>
      </w:r>
    </w:p>
    <w:p>
      <w:pPr>
        <w:pStyle w:val="2"/>
        <w:keepNext w:val="0"/>
        <w:keepLines w:val="0"/>
        <w:widowControl/>
        <w:suppressLineNumbers w:val="0"/>
        <w:spacing w:before="0" w:beforeAutospacing="0" w:after="0" w:afterAutospacing="0" w:line="450" w:lineRule="atLeast"/>
        <w:ind w:left="0" w:right="0" w:firstLine="480"/>
        <w:rPr>
          <w:rFonts w:hint="eastAsia" w:ascii="宋体" w:hAnsi="宋体" w:eastAsia="宋体" w:cs="宋体"/>
          <w:sz w:val="24"/>
          <w:szCs w:val="24"/>
        </w:rPr>
      </w:pPr>
      <w:r>
        <w:rPr>
          <w:rFonts w:hint="eastAsia" w:ascii="仿宋" w:hAnsi="仿宋" w:eastAsia="仿宋" w:cs="仿宋"/>
          <w:b/>
          <w:bCs/>
          <w:color w:val="000000"/>
          <w:sz w:val="32"/>
          <w:szCs w:val="32"/>
        </w:rPr>
        <w:t>（四）政府信息公开平台建设情况</w:t>
      </w:r>
    </w:p>
    <w:p>
      <w:pPr>
        <w:pStyle w:val="2"/>
        <w:keepNext w:val="0"/>
        <w:keepLines w:val="0"/>
        <w:widowControl/>
        <w:suppressLineNumbers w:val="0"/>
        <w:spacing w:before="0" w:beforeAutospacing="0" w:after="0" w:afterAutospacing="0" w:line="450" w:lineRule="atLeast"/>
        <w:ind w:left="0" w:right="0" w:firstLine="480"/>
        <w:rPr>
          <w:rFonts w:hint="eastAsia" w:ascii="宋体" w:hAnsi="宋体" w:eastAsia="宋体" w:cs="宋体"/>
          <w:sz w:val="24"/>
          <w:szCs w:val="24"/>
        </w:rPr>
      </w:pPr>
      <w:r>
        <w:rPr>
          <w:rFonts w:hint="eastAsia" w:ascii="仿宋" w:hAnsi="仿宋" w:eastAsia="仿宋" w:cs="仿宋"/>
          <w:color w:val="000000"/>
          <w:sz w:val="32"/>
          <w:szCs w:val="32"/>
        </w:rPr>
        <w:t>1.加强网站平台建设。完成机构合并后原市城乡规划局政府网站域名的清理及本局网站整合、改版、迁移等工作。大力推进网站平台建设，加大自然资源和规划信息公开量，调整扩大公开范围，细化公开内容，不断完善政务公开平台建设。</w:t>
      </w:r>
    </w:p>
    <w:p>
      <w:pPr>
        <w:pStyle w:val="2"/>
        <w:keepNext w:val="0"/>
        <w:keepLines w:val="0"/>
        <w:widowControl/>
        <w:suppressLineNumbers w:val="0"/>
        <w:spacing w:before="0" w:beforeAutospacing="0" w:after="0" w:afterAutospacing="0" w:line="450" w:lineRule="atLeast"/>
        <w:ind w:left="0" w:right="0" w:firstLine="480"/>
        <w:rPr>
          <w:rFonts w:hint="eastAsia" w:ascii="宋体" w:hAnsi="宋体" w:eastAsia="宋体" w:cs="宋体"/>
          <w:sz w:val="24"/>
          <w:szCs w:val="24"/>
        </w:rPr>
      </w:pPr>
      <w:r>
        <w:rPr>
          <w:rFonts w:hint="eastAsia" w:ascii="仿宋" w:hAnsi="仿宋" w:eastAsia="仿宋" w:cs="仿宋"/>
          <w:color w:val="000000"/>
          <w:sz w:val="32"/>
          <w:szCs w:val="32"/>
        </w:rPr>
        <w:t>2.保障政务新媒体维护。指定专人负责微信公众号、微博的日常管理和维护。2019年，通过微信公众号发布信息121条；通过微博发布信息146条；按照新闻发布会计划，召开了新闻发布会3次。</w:t>
      </w:r>
    </w:p>
    <w:p>
      <w:pPr>
        <w:pStyle w:val="2"/>
        <w:keepNext w:val="0"/>
        <w:keepLines w:val="0"/>
        <w:widowControl/>
        <w:suppressLineNumbers w:val="0"/>
        <w:spacing w:before="0" w:beforeAutospacing="0" w:after="0" w:afterAutospacing="0" w:line="450" w:lineRule="atLeast"/>
        <w:ind w:left="0" w:right="0" w:firstLine="480"/>
        <w:rPr>
          <w:rFonts w:hint="eastAsia" w:ascii="宋体" w:hAnsi="宋体" w:eastAsia="宋体" w:cs="宋体"/>
          <w:sz w:val="24"/>
          <w:szCs w:val="24"/>
        </w:rPr>
      </w:pPr>
      <w:r>
        <w:rPr>
          <w:rFonts w:hint="eastAsia" w:ascii="仿宋" w:hAnsi="仿宋" w:eastAsia="仿宋" w:cs="仿宋"/>
          <w:b/>
          <w:bCs/>
          <w:color w:val="000000"/>
          <w:sz w:val="32"/>
          <w:szCs w:val="32"/>
        </w:rPr>
        <w:t>（五）监督保障情况</w:t>
      </w:r>
    </w:p>
    <w:p>
      <w:pPr>
        <w:pStyle w:val="2"/>
        <w:keepNext w:val="0"/>
        <w:keepLines w:val="0"/>
        <w:widowControl/>
        <w:suppressLineNumbers w:val="0"/>
        <w:spacing w:before="0" w:beforeAutospacing="0" w:after="0" w:afterAutospacing="0" w:line="450" w:lineRule="atLeast"/>
        <w:ind w:left="0" w:right="0" w:firstLine="320"/>
        <w:rPr>
          <w:rFonts w:hint="eastAsia" w:ascii="宋体" w:hAnsi="宋体" w:eastAsia="宋体" w:cs="宋体"/>
          <w:sz w:val="24"/>
          <w:szCs w:val="24"/>
        </w:rPr>
      </w:pPr>
      <w:r>
        <w:rPr>
          <w:rFonts w:hint="eastAsia" w:ascii="仿宋" w:hAnsi="仿宋" w:eastAsia="仿宋" w:cs="仿宋"/>
          <w:color w:val="000000"/>
          <w:sz w:val="32"/>
          <w:szCs w:val="32"/>
        </w:rPr>
        <w:t>通过淮南市自然资源和规划局门户网站、政务微博、政府信息查阅场所、报刊等方式，及时公开群众关注的热点难点问题、事关群众利益的重大事项等信息，增强信息公布的主动性、权威性和时效性。</w:t>
      </w:r>
    </w:p>
    <w:p>
      <w:pPr>
        <w:pStyle w:val="2"/>
        <w:keepNext w:val="0"/>
        <w:keepLines w:val="0"/>
        <w:widowControl/>
        <w:suppressLineNumbers w:val="0"/>
        <w:spacing w:before="0" w:beforeAutospacing="0" w:after="0" w:afterAutospacing="0" w:line="450" w:lineRule="atLeast"/>
        <w:ind w:left="0" w:right="0" w:firstLine="480"/>
        <w:rPr>
          <w:rFonts w:hint="eastAsia" w:ascii="宋体" w:hAnsi="宋体" w:eastAsia="宋体" w:cs="宋体"/>
          <w:sz w:val="24"/>
          <w:szCs w:val="24"/>
        </w:rPr>
      </w:pPr>
      <w:r>
        <w:rPr>
          <w:rFonts w:hint="eastAsia" w:ascii="仿宋" w:hAnsi="仿宋" w:eastAsia="仿宋" w:cs="仿宋"/>
          <w:b/>
          <w:bCs/>
          <w:color w:val="000000"/>
          <w:sz w:val="32"/>
          <w:szCs w:val="32"/>
        </w:rPr>
        <w:t>（六）贯彻落实新条例情况</w:t>
      </w:r>
    </w:p>
    <w:p>
      <w:pPr>
        <w:pStyle w:val="2"/>
        <w:keepNext w:val="0"/>
        <w:keepLines w:val="0"/>
        <w:widowControl/>
        <w:suppressLineNumbers w:val="0"/>
        <w:spacing w:before="0" w:beforeAutospacing="0" w:after="0" w:afterAutospacing="0" w:line="450" w:lineRule="atLeast"/>
        <w:ind w:left="0" w:right="0" w:firstLine="640"/>
        <w:rPr>
          <w:rFonts w:hint="eastAsia" w:ascii="宋体" w:hAnsi="宋体" w:eastAsia="宋体" w:cs="宋体"/>
          <w:sz w:val="24"/>
          <w:szCs w:val="24"/>
        </w:rPr>
      </w:pPr>
      <w:r>
        <w:rPr>
          <w:rFonts w:hint="eastAsia" w:ascii="仿宋" w:hAnsi="仿宋" w:eastAsia="仿宋" w:cs="仿宋"/>
          <w:color w:val="000000"/>
          <w:sz w:val="32"/>
          <w:szCs w:val="32"/>
        </w:rPr>
        <w:t>新增宣传“贯彻《中华人民共和国政府信息公开条例》”专栏，宣传贯彻新条例，重新修订本局政府信息公开指南，并根据机构改革新要求，重新梳理政府信息公开目录。</w:t>
      </w:r>
    </w:p>
    <w:p>
      <w:pPr>
        <w:pStyle w:val="2"/>
        <w:keepNext w:val="0"/>
        <w:keepLines w:val="0"/>
        <w:widowControl/>
        <w:suppressLineNumbers w:val="0"/>
        <w:spacing w:before="0" w:beforeAutospacing="0" w:after="0" w:afterAutospacing="0" w:line="432" w:lineRule="atLeast"/>
        <w:ind w:left="0" w:right="960" w:firstLine="480"/>
        <w:jc w:val="both"/>
        <w:rPr>
          <w:sz w:val="21"/>
          <w:szCs w:val="21"/>
        </w:rPr>
      </w:pPr>
      <w:r>
        <w:rPr>
          <w:rFonts w:hint="eastAsia" w:ascii="黑体" w:hAnsi="宋体" w:eastAsia="黑体" w:cs="黑体"/>
          <w:color w:val="000000"/>
          <w:sz w:val="32"/>
          <w:szCs w:val="32"/>
        </w:rPr>
        <w:t>二、主动公开政府信息情况</w:t>
      </w:r>
    </w:p>
    <w:tbl>
      <w:tblPr>
        <w:tblW w:w="92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336"/>
        <w:gridCol w:w="1975"/>
        <w:gridCol w:w="1826"/>
        <w:gridCol w:w="2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9288"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2"/>
              <w:keepNext w:val="0"/>
              <w:keepLines w:val="0"/>
              <w:widowControl/>
              <w:suppressLineNumbers w:val="0"/>
              <w:spacing w:before="0" w:beforeAutospacing="0" w:after="0" w:afterAutospacing="0"/>
              <w:ind w:left="0" w:right="714"/>
              <w:jc w:val="center"/>
              <w:rPr>
                <w:rFonts w:hint="default" w:ascii="Times New Roman" w:hAnsi="Times New Roman" w:cs="Times New Roman"/>
                <w:sz w:val="21"/>
                <w:szCs w:val="21"/>
              </w:rPr>
            </w:pPr>
            <w:r>
              <w:rPr>
                <w:rFonts w:hint="eastAsia" w:ascii="宋体" w:hAnsi="宋体" w:eastAsia="宋体" w:cs="宋体"/>
                <w:color w:val="000000"/>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3336"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信息内容</w:t>
            </w:r>
          </w:p>
        </w:tc>
        <w:tc>
          <w:tcPr>
            <w:tcW w:w="197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本年新</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制作数量</w:t>
            </w:r>
          </w:p>
        </w:tc>
        <w:tc>
          <w:tcPr>
            <w:tcW w:w="182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本年新</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公开数量</w:t>
            </w:r>
          </w:p>
        </w:tc>
        <w:tc>
          <w:tcPr>
            <w:tcW w:w="2151"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 w:hRule="atLeast"/>
        </w:trPr>
        <w:tc>
          <w:tcPr>
            <w:tcW w:w="3336"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规章</w:t>
            </w:r>
          </w:p>
        </w:tc>
        <w:tc>
          <w:tcPr>
            <w:tcW w:w="197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0</w:t>
            </w:r>
          </w:p>
        </w:tc>
        <w:tc>
          <w:tcPr>
            <w:tcW w:w="182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0</w:t>
            </w:r>
          </w:p>
        </w:tc>
        <w:tc>
          <w:tcPr>
            <w:tcW w:w="2151"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trPr>
        <w:tc>
          <w:tcPr>
            <w:tcW w:w="3336"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规范性文件</w:t>
            </w:r>
          </w:p>
        </w:tc>
        <w:tc>
          <w:tcPr>
            <w:tcW w:w="197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0</w:t>
            </w:r>
          </w:p>
        </w:tc>
        <w:tc>
          <w:tcPr>
            <w:tcW w:w="182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0</w:t>
            </w:r>
          </w:p>
        </w:tc>
        <w:tc>
          <w:tcPr>
            <w:tcW w:w="2151"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9288"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trPr>
        <w:tc>
          <w:tcPr>
            <w:tcW w:w="3336"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信息内容</w:t>
            </w:r>
          </w:p>
        </w:tc>
        <w:tc>
          <w:tcPr>
            <w:tcW w:w="197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上一年项目数量</w:t>
            </w:r>
          </w:p>
        </w:tc>
        <w:tc>
          <w:tcPr>
            <w:tcW w:w="182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本年增/减</w:t>
            </w:r>
          </w:p>
        </w:tc>
        <w:tc>
          <w:tcPr>
            <w:tcW w:w="2151"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3336" w:type="dxa"/>
            <w:tcBorders>
              <w:top w:val="nil"/>
              <w:left w:val="single" w:color="auto" w:sz="8" w:space="0"/>
              <w:bottom w:val="single" w:color="auto" w:sz="8" w:space="0"/>
              <w:right w:val="single" w:color="auto" w:sz="8" w:space="0"/>
            </w:tcBorders>
            <w:shd w:val="clear"/>
            <w:noWrap/>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行政许可</w:t>
            </w:r>
          </w:p>
        </w:tc>
        <w:tc>
          <w:tcPr>
            <w:tcW w:w="1975" w:type="dxa"/>
            <w:tcBorders>
              <w:top w:val="nil"/>
              <w:left w:val="nil"/>
              <w:bottom w:val="single" w:color="auto" w:sz="8" w:space="0"/>
              <w:right w:val="single" w:color="auto" w:sz="8" w:space="0"/>
            </w:tcBorders>
            <w:shd w:val="clear"/>
            <w:noWrap/>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17</w:t>
            </w:r>
          </w:p>
        </w:tc>
        <w:tc>
          <w:tcPr>
            <w:tcW w:w="1826"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0</w:t>
            </w:r>
          </w:p>
        </w:tc>
        <w:tc>
          <w:tcPr>
            <w:tcW w:w="2151"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3336" w:type="dxa"/>
            <w:tcBorders>
              <w:top w:val="nil"/>
              <w:left w:val="single" w:color="auto" w:sz="8" w:space="0"/>
              <w:bottom w:val="single" w:color="auto" w:sz="8" w:space="0"/>
              <w:right w:val="single" w:color="auto" w:sz="8" w:space="0"/>
            </w:tcBorders>
            <w:shd w:val="clear"/>
            <w:noWrap/>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其他对外管理服务事项（除行政许可外的其他行政权力，含第六项行政处罚与行政强制）</w:t>
            </w:r>
          </w:p>
        </w:tc>
        <w:tc>
          <w:tcPr>
            <w:tcW w:w="1975" w:type="dxa"/>
            <w:tcBorders>
              <w:top w:val="nil"/>
              <w:left w:val="nil"/>
              <w:bottom w:val="single" w:color="auto" w:sz="8" w:space="0"/>
              <w:right w:val="single" w:color="auto" w:sz="8" w:space="0"/>
            </w:tcBorders>
            <w:shd w:val="clear"/>
            <w:noWrap/>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76</w:t>
            </w:r>
          </w:p>
        </w:tc>
        <w:tc>
          <w:tcPr>
            <w:tcW w:w="1826"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ind w:left="120" w:right="0" w:hanging="120"/>
              <w:jc w:val="center"/>
              <w:rPr>
                <w:rFonts w:hint="default" w:ascii="Times New Roman" w:hAnsi="Times New Roman" w:cs="Times New Roman"/>
                <w:sz w:val="21"/>
                <w:szCs w:val="21"/>
              </w:rPr>
            </w:pPr>
            <w:r>
              <w:rPr>
                <w:rFonts w:hint="eastAsia" w:ascii="宋体" w:hAnsi="宋体" w:eastAsia="宋体" w:cs="宋体"/>
                <w:color w:val="000000"/>
                <w:sz w:val="24"/>
                <w:szCs w:val="24"/>
              </w:rPr>
              <w:t>3</w:t>
            </w:r>
          </w:p>
        </w:tc>
        <w:tc>
          <w:tcPr>
            <w:tcW w:w="2151"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6" w:hRule="atLeast"/>
        </w:trPr>
        <w:tc>
          <w:tcPr>
            <w:tcW w:w="9288"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4" w:hRule="atLeast"/>
        </w:trPr>
        <w:tc>
          <w:tcPr>
            <w:tcW w:w="3336"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信息内容</w:t>
            </w:r>
          </w:p>
        </w:tc>
        <w:tc>
          <w:tcPr>
            <w:tcW w:w="197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上一年项目数量</w:t>
            </w:r>
          </w:p>
        </w:tc>
        <w:tc>
          <w:tcPr>
            <w:tcW w:w="182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本年增/减</w:t>
            </w:r>
          </w:p>
        </w:tc>
        <w:tc>
          <w:tcPr>
            <w:tcW w:w="2151"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0" w:hRule="atLeast"/>
        </w:trPr>
        <w:tc>
          <w:tcPr>
            <w:tcW w:w="3336" w:type="dxa"/>
            <w:tcBorders>
              <w:top w:val="nil"/>
              <w:left w:val="single" w:color="auto" w:sz="8" w:space="0"/>
              <w:bottom w:val="single" w:color="auto" w:sz="8" w:space="0"/>
              <w:right w:val="single" w:color="auto" w:sz="8" w:space="0"/>
            </w:tcBorders>
            <w:shd w:val="clear"/>
            <w:noWrap/>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行政处罚</w:t>
            </w:r>
          </w:p>
        </w:tc>
        <w:tc>
          <w:tcPr>
            <w:tcW w:w="1975" w:type="dxa"/>
            <w:tcBorders>
              <w:top w:val="nil"/>
              <w:left w:val="nil"/>
              <w:bottom w:val="single" w:color="auto" w:sz="8" w:space="0"/>
              <w:right w:val="single" w:color="auto" w:sz="8" w:space="0"/>
            </w:tcBorders>
            <w:shd w:val="clear"/>
            <w:noWrap/>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55</w:t>
            </w:r>
          </w:p>
        </w:tc>
        <w:tc>
          <w:tcPr>
            <w:tcW w:w="1826"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0</w:t>
            </w:r>
          </w:p>
        </w:tc>
        <w:tc>
          <w:tcPr>
            <w:tcW w:w="2151"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trPr>
        <w:tc>
          <w:tcPr>
            <w:tcW w:w="3336" w:type="dxa"/>
            <w:tcBorders>
              <w:top w:val="nil"/>
              <w:left w:val="single" w:color="auto" w:sz="8" w:space="0"/>
              <w:bottom w:val="single" w:color="auto" w:sz="8" w:space="0"/>
              <w:right w:val="single" w:color="auto" w:sz="8" w:space="0"/>
            </w:tcBorders>
            <w:shd w:val="clear"/>
            <w:noWrap/>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行政强制</w:t>
            </w:r>
          </w:p>
        </w:tc>
        <w:tc>
          <w:tcPr>
            <w:tcW w:w="1975" w:type="dxa"/>
            <w:tcBorders>
              <w:top w:val="nil"/>
              <w:left w:val="nil"/>
              <w:bottom w:val="single" w:color="auto" w:sz="8" w:space="0"/>
              <w:right w:val="single" w:color="auto" w:sz="8" w:space="0"/>
            </w:tcBorders>
            <w:shd w:val="clear"/>
            <w:noWrap/>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0</w:t>
            </w:r>
          </w:p>
        </w:tc>
        <w:tc>
          <w:tcPr>
            <w:tcW w:w="1826"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0</w:t>
            </w:r>
          </w:p>
        </w:tc>
        <w:tc>
          <w:tcPr>
            <w:tcW w:w="2151"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4" w:hRule="atLeast"/>
        </w:trPr>
        <w:tc>
          <w:tcPr>
            <w:tcW w:w="9288"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3336"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信息内容</w:t>
            </w:r>
          </w:p>
        </w:tc>
        <w:tc>
          <w:tcPr>
            <w:tcW w:w="197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上一年项目数量</w:t>
            </w:r>
          </w:p>
        </w:tc>
        <w:tc>
          <w:tcPr>
            <w:tcW w:w="3977" w:type="dxa"/>
            <w:gridSpan w:val="2"/>
            <w:tcBorders>
              <w:top w:val="nil"/>
              <w:left w:val="nil"/>
              <w:bottom w:val="single" w:color="auto"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1" w:hRule="atLeast"/>
        </w:trPr>
        <w:tc>
          <w:tcPr>
            <w:tcW w:w="3336"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行政事业性收费</w:t>
            </w:r>
          </w:p>
        </w:tc>
        <w:tc>
          <w:tcPr>
            <w:tcW w:w="197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4</w:t>
            </w:r>
          </w:p>
        </w:tc>
        <w:tc>
          <w:tcPr>
            <w:tcW w:w="3977" w:type="dxa"/>
            <w:gridSpan w:val="2"/>
            <w:tcBorders>
              <w:top w:val="nil"/>
              <w:left w:val="nil"/>
              <w:bottom w:val="single" w:color="auto"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6" w:hRule="atLeast"/>
        </w:trPr>
        <w:tc>
          <w:tcPr>
            <w:tcW w:w="9288"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trPr>
        <w:tc>
          <w:tcPr>
            <w:tcW w:w="3336"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信息内容</w:t>
            </w:r>
          </w:p>
        </w:tc>
        <w:tc>
          <w:tcPr>
            <w:tcW w:w="197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采购项目数量</w:t>
            </w:r>
          </w:p>
        </w:tc>
        <w:tc>
          <w:tcPr>
            <w:tcW w:w="3977" w:type="dxa"/>
            <w:gridSpan w:val="2"/>
            <w:tcBorders>
              <w:top w:val="nil"/>
              <w:left w:val="nil"/>
              <w:bottom w:val="single" w:color="auto"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9" w:hRule="atLeast"/>
        </w:trPr>
        <w:tc>
          <w:tcPr>
            <w:tcW w:w="3336"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政府集中采购</w:t>
            </w:r>
          </w:p>
        </w:tc>
        <w:tc>
          <w:tcPr>
            <w:tcW w:w="197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16</w:t>
            </w:r>
          </w:p>
        </w:tc>
        <w:tc>
          <w:tcPr>
            <w:tcW w:w="3977" w:type="dxa"/>
            <w:gridSpan w:val="2"/>
            <w:tcBorders>
              <w:top w:val="nil"/>
              <w:left w:val="nil"/>
              <w:bottom w:val="single" w:color="auto"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2103.06</w:t>
            </w:r>
            <w:r>
              <w:rPr>
                <w:rFonts w:hint="eastAsia" w:ascii="宋体" w:hAnsi="宋体" w:eastAsia="宋体" w:cs="宋体"/>
                <w:sz w:val="21"/>
                <w:szCs w:val="21"/>
              </w:rPr>
              <w:t>万元</w:t>
            </w:r>
          </w:p>
        </w:tc>
      </w:tr>
    </w:tbl>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4"/>
          <w:szCs w:val="24"/>
        </w:rPr>
        <w:t> </w:t>
      </w:r>
    </w:p>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240" w:afterAutospacing="0" w:line="578" w:lineRule="atLeast"/>
        <w:ind w:left="0" w:right="0"/>
        <w:jc w:val="both"/>
        <w:rPr>
          <w:sz w:val="21"/>
          <w:szCs w:val="21"/>
        </w:rPr>
      </w:pPr>
      <w:r>
        <w:rPr>
          <w:rFonts w:hint="eastAsia" w:ascii="黑体" w:hAnsi="宋体" w:eastAsia="黑体" w:cs="黑体"/>
          <w:sz w:val="32"/>
          <w:szCs w:val="32"/>
        </w:rPr>
        <w:t>三、收到和处理政府信息公开申请情况</w:t>
      </w:r>
    </w:p>
    <w:tbl>
      <w:tblPr>
        <w:tblW w:w="92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1"/>
        <w:gridCol w:w="936"/>
        <w:gridCol w:w="2098"/>
        <w:gridCol w:w="818"/>
        <w:gridCol w:w="758"/>
        <w:gridCol w:w="758"/>
        <w:gridCol w:w="817"/>
        <w:gridCol w:w="978"/>
        <w:gridCol w:w="714"/>
        <w:gridCol w:w="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535" w:type="dxa"/>
            <w:gridSpan w:val="3"/>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（本列数据的勾稽关系为：第一项加第二项之和，等于第三项加第四项之和）</w:t>
            </w:r>
          </w:p>
        </w:tc>
        <w:tc>
          <w:tcPr>
            <w:tcW w:w="5753" w:type="dxa"/>
            <w:gridSpan w:val="7"/>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535" w:type="dxa"/>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18"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自然人</w:t>
            </w:r>
          </w:p>
        </w:tc>
        <w:tc>
          <w:tcPr>
            <w:tcW w:w="4025"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法人或其他组织</w:t>
            </w:r>
          </w:p>
        </w:tc>
        <w:tc>
          <w:tcPr>
            <w:tcW w:w="91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535" w:type="dxa"/>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商业企业</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科研机构</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社会公益组织</w:t>
            </w:r>
          </w:p>
        </w:tc>
        <w:tc>
          <w:tcPr>
            <w:tcW w:w="97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法律服务机构</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其他</w:t>
            </w: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535" w:type="dxa"/>
            <w:gridSpan w:val="3"/>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4"/>
                <w:szCs w:val="24"/>
              </w:rPr>
              <w:t>一、本年新收政府信息公开申请数量</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41</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1</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0 </w:t>
            </w:r>
          </w:p>
        </w:tc>
        <w:tc>
          <w:tcPr>
            <w:tcW w:w="97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3</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535" w:type="dxa"/>
            <w:gridSpan w:val="3"/>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4"/>
                <w:szCs w:val="24"/>
              </w:rPr>
              <w:t>二、上年结转政府信息公开申请数量</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0 </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0 </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7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0 </w:t>
            </w:r>
          </w:p>
        </w:tc>
        <w:tc>
          <w:tcPr>
            <w:tcW w:w="9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1" w:type="dxa"/>
            <w:vMerge w:val="restart"/>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三、本年度办理结果</w:t>
            </w:r>
          </w:p>
        </w:tc>
        <w:tc>
          <w:tcPr>
            <w:tcW w:w="3034"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ascii="楷体" w:hAnsi="楷体" w:eastAsia="楷体" w:cs="楷体"/>
                <w:sz w:val="24"/>
                <w:szCs w:val="24"/>
              </w:rPr>
              <w:t>（一）予以公开</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37</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1</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0 </w:t>
            </w:r>
          </w:p>
        </w:tc>
        <w:tc>
          <w:tcPr>
            <w:tcW w:w="97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2</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3034"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楷体" w:hAnsi="楷体" w:eastAsia="楷体" w:cs="楷体"/>
                <w:sz w:val="24"/>
                <w:szCs w:val="24"/>
              </w:rPr>
              <w:t>（二）部分公开（区分处理的，只计这一情形，不计其他情形）</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3 </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0 </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7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1 </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936"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楷体" w:hAnsi="楷体" w:eastAsia="楷体" w:cs="楷体"/>
                <w:sz w:val="24"/>
                <w:szCs w:val="24"/>
              </w:rPr>
              <w:t>（三）不予公开</w:t>
            </w:r>
          </w:p>
        </w:tc>
        <w:tc>
          <w:tcPr>
            <w:tcW w:w="20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楷体" w:hAnsi="楷体" w:eastAsia="楷体" w:cs="楷体"/>
                <w:sz w:val="24"/>
                <w:szCs w:val="24"/>
              </w:rPr>
              <w:t>1.属于国家秘密</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7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0 </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0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楷体" w:hAnsi="楷体" w:eastAsia="楷体" w:cs="楷体"/>
                <w:sz w:val="24"/>
                <w:szCs w:val="24"/>
              </w:rPr>
              <w:t>2.其他法律行政法规禁止公开</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7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0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楷体" w:hAnsi="楷体" w:eastAsia="楷体" w:cs="楷体"/>
                <w:sz w:val="24"/>
                <w:szCs w:val="24"/>
              </w:rPr>
              <w:t>3.危及“三安全一稳定”</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7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0 </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0 </w:t>
            </w:r>
          </w:p>
        </w:tc>
        <w:tc>
          <w:tcPr>
            <w:tcW w:w="9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0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楷体" w:hAnsi="楷体" w:eastAsia="楷体" w:cs="楷体"/>
                <w:sz w:val="24"/>
                <w:szCs w:val="24"/>
              </w:rPr>
              <w:t>4.保护第三方合法权益</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7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0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楷体" w:hAnsi="楷体" w:eastAsia="楷体" w:cs="楷体"/>
                <w:sz w:val="24"/>
                <w:szCs w:val="24"/>
              </w:rPr>
              <w:t>5.属于三类内部事务信息</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0 </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7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0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楷体" w:hAnsi="楷体" w:eastAsia="楷体" w:cs="楷体"/>
                <w:sz w:val="24"/>
                <w:szCs w:val="24"/>
              </w:rPr>
              <w:t>6.属于四类过程性信息</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7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0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楷体" w:hAnsi="楷体" w:eastAsia="楷体" w:cs="楷体"/>
                <w:sz w:val="24"/>
                <w:szCs w:val="24"/>
              </w:rPr>
              <w:t>7.属于行政执法案卷</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0 </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7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0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楷体" w:hAnsi="楷体" w:eastAsia="楷体" w:cs="楷体"/>
                <w:sz w:val="24"/>
                <w:szCs w:val="24"/>
              </w:rPr>
              <w:t>8.属于行政查询事项</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7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936"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楷体" w:hAnsi="楷体" w:eastAsia="楷体" w:cs="楷体"/>
                <w:sz w:val="24"/>
                <w:szCs w:val="24"/>
              </w:rPr>
              <w:t>（四）无法提供</w:t>
            </w:r>
          </w:p>
        </w:tc>
        <w:tc>
          <w:tcPr>
            <w:tcW w:w="20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楷体" w:hAnsi="楷体" w:eastAsia="楷体" w:cs="楷体"/>
                <w:sz w:val="24"/>
                <w:szCs w:val="24"/>
              </w:rPr>
              <w:t>1.本机关不掌握相关政府信息</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1 </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7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0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楷体" w:hAnsi="楷体" w:eastAsia="楷体" w:cs="楷体"/>
                <w:sz w:val="24"/>
                <w:szCs w:val="24"/>
              </w:rPr>
              <w:t>2.没有现成信息需要另行制作</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7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0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楷体" w:hAnsi="楷体" w:eastAsia="楷体" w:cs="楷体"/>
                <w:sz w:val="24"/>
                <w:szCs w:val="24"/>
              </w:rPr>
              <w:t>3.补正后申请内容仍不明确</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7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936"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楷体" w:hAnsi="楷体" w:eastAsia="楷体" w:cs="楷体"/>
                <w:sz w:val="24"/>
                <w:szCs w:val="24"/>
              </w:rPr>
              <w:t>（五）不予处理</w:t>
            </w:r>
          </w:p>
        </w:tc>
        <w:tc>
          <w:tcPr>
            <w:tcW w:w="20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楷体" w:hAnsi="楷体" w:eastAsia="楷体" w:cs="楷体"/>
                <w:sz w:val="24"/>
                <w:szCs w:val="24"/>
              </w:rPr>
              <w:t>1.信访举报投诉类申请</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7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0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楷体" w:hAnsi="楷体" w:eastAsia="楷体" w:cs="楷体"/>
                <w:sz w:val="24"/>
                <w:szCs w:val="24"/>
              </w:rPr>
              <w:t>2.重复申请</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7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0 </w:t>
            </w:r>
          </w:p>
        </w:tc>
        <w:tc>
          <w:tcPr>
            <w:tcW w:w="9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0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楷体" w:hAnsi="楷体" w:eastAsia="楷体" w:cs="楷体"/>
                <w:sz w:val="24"/>
                <w:szCs w:val="24"/>
              </w:rPr>
              <w:t>3.要求提供公开出版物</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7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0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楷体" w:hAnsi="楷体" w:eastAsia="楷体" w:cs="楷体"/>
                <w:sz w:val="24"/>
                <w:szCs w:val="24"/>
              </w:rPr>
              <w:t>4.无正当理由大量反复申请</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7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0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楷体" w:hAnsi="楷体" w:eastAsia="楷体" w:cs="楷体"/>
                <w:sz w:val="24"/>
                <w:szCs w:val="24"/>
              </w:rPr>
              <w:t>5.要求行政机关确认或重新出具已获取信息</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0 </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7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3034"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楷体" w:hAnsi="楷体" w:eastAsia="楷体" w:cs="楷体"/>
                <w:sz w:val="24"/>
                <w:szCs w:val="24"/>
              </w:rPr>
              <w:t>（六）其他处理</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0 </w:t>
            </w:r>
          </w:p>
        </w:tc>
        <w:tc>
          <w:tcPr>
            <w:tcW w:w="97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0 </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0 </w:t>
            </w:r>
          </w:p>
        </w:tc>
        <w:tc>
          <w:tcPr>
            <w:tcW w:w="9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1"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3034"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楷体" w:hAnsi="楷体" w:eastAsia="楷体" w:cs="楷体"/>
                <w:sz w:val="24"/>
                <w:szCs w:val="24"/>
              </w:rPr>
              <w:t>（七）总计</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41</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1</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0 </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7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3</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535" w:type="dxa"/>
            <w:gridSpan w:val="3"/>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4"/>
                <w:szCs w:val="24"/>
              </w:rPr>
              <w:t>四、结转下年度继续办理</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7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8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7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0 </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9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4"/>
                <w:szCs w:val="24"/>
              </w:rPr>
              <w:t>0</w:t>
            </w:r>
          </w:p>
        </w:tc>
      </w:tr>
    </w:tbl>
    <w:p>
      <w:pPr>
        <w:pStyle w:val="2"/>
        <w:keepNext w:val="0"/>
        <w:keepLines w:val="0"/>
        <w:widowControl/>
        <w:suppressLineNumbers w:val="0"/>
        <w:spacing w:before="0" w:beforeAutospacing="0" w:after="0" w:afterAutospacing="0" w:line="432" w:lineRule="atLeast"/>
        <w:ind w:left="0" w:right="0"/>
        <w:jc w:val="both"/>
        <w:rPr>
          <w:rFonts w:hint="default" w:ascii="Times New Roman" w:hAnsi="Times New Roman" w:cs="Times New Roman"/>
          <w:sz w:val="21"/>
          <w:szCs w:val="21"/>
        </w:rPr>
      </w:pPr>
      <w:r>
        <w:rPr>
          <w:rFonts w:hint="eastAsia" w:ascii="宋体" w:hAnsi="宋体" w:eastAsia="宋体" w:cs="宋体"/>
          <w:color w:val="333333"/>
          <w:sz w:val="24"/>
          <w:szCs w:val="24"/>
        </w:rPr>
        <w:t> </w:t>
      </w:r>
    </w:p>
    <w:p>
      <w:pPr>
        <w:pStyle w:val="2"/>
        <w:keepNext w:val="0"/>
        <w:keepLines w:val="0"/>
        <w:widowControl/>
        <w:suppressLineNumbers w:val="0"/>
        <w:spacing w:before="0" w:beforeAutospacing="0" w:after="0" w:afterAutospacing="0" w:line="432" w:lineRule="atLeast"/>
        <w:ind w:left="0" w:right="0" w:firstLine="480"/>
        <w:jc w:val="both"/>
        <w:rPr>
          <w:sz w:val="21"/>
          <w:szCs w:val="21"/>
        </w:rPr>
      </w:pPr>
      <w:r>
        <w:rPr>
          <w:rFonts w:hint="eastAsia" w:ascii="黑体" w:hAnsi="宋体" w:eastAsia="黑体" w:cs="黑体"/>
          <w:color w:val="333333"/>
          <w:sz w:val="32"/>
          <w:szCs w:val="32"/>
        </w:rPr>
        <w:t>四、政府信息公开行政复议、行政诉讼情况</w:t>
      </w:r>
    </w:p>
    <w:tbl>
      <w:tblPr>
        <w:tblW w:w="9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63"/>
        <w:gridCol w:w="601"/>
        <w:gridCol w:w="601"/>
        <w:gridCol w:w="601"/>
        <w:gridCol w:w="655"/>
        <w:gridCol w:w="576"/>
        <w:gridCol w:w="605"/>
        <w:gridCol w:w="605"/>
        <w:gridCol w:w="605"/>
        <w:gridCol w:w="605"/>
        <w:gridCol w:w="605"/>
        <w:gridCol w:w="605"/>
        <w:gridCol w:w="605"/>
        <w:gridCol w:w="605"/>
        <w:gridCol w:w="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443"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行政复议</w:t>
            </w:r>
          </w:p>
        </w:tc>
        <w:tc>
          <w:tcPr>
            <w:tcW w:w="5997" w:type="dxa"/>
            <w:gridSpan w:val="10"/>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73"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结果维持</w:t>
            </w:r>
          </w:p>
        </w:tc>
        <w:tc>
          <w:tcPr>
            <w:tcW w:w="60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结果纠正</w:t>
            </w:r>
          </w:p>
        </w:tc>
        <w:tc>
          <w:tcPr>
            <w:tcW w:w="60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其他结果</w:t>
            </w:r>
          </w:p>
        </w:tc>
        <w:tc>
          <w:tcPr>
            <w:tcW w:w="60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尚未审结</w:t>
            </w:r>
          </w:p>
        </w:tc>
        <w:tc>
          <w:tcPr>
            <w:tcW w:w="658"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总计</w:t>
            </w:r>
          </w:p>
        </w:tc>
        <w:tc>
          <w:tcPr>
            <w:tcW w:w="2970"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未经复议直接起诉</w:t>
            </w:r>
          </w:p>
        </w:tc>
        <w:tc>
          <w:tcPr>
            <w:tcW w:w="3027"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7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5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结果维持</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结果纠正</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其他结果</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尚未审结</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总计</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结果维持</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结果纠正</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其他结果</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尚未审结</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7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0 </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6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Calibri" w:hAnsi="Calibri" w:cs="Calibri"/>
                <w:sz w:val="24"/>
                <w:szCs w:val="24"/>
              </w:rPr>
              <w:t> 0</w:t>
            </w:r>
          </w:p>
        </w:tc>
        <w:tc>
          <w:tcPr>
            <w:tcW w:w="5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 1</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 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 1</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 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 2</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 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 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4"/>
                <w:szCs w:val="24"/>
              </w:rPr>
              <w:t>0 </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rPr>
              <w:t> 0</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4"/>
                <w:szCs w:val="24"/>
              </w:rPr>
              <w:t>0</w:t>
            </w:r>
          </w:p>
        </w:tc>
      </w:tr>
    </w:tbl>
    <w:p>
      <w:pPr>
        <w:pStyle w:val="2"/>
        <w:keepNext w:val="0"/>
        <w:keepLines w:val="0"/>
        <w:widowControl/>
        <w:suppressLineNumbers w:val="0"/>
        <w:spacing w:before="0" w:beforeAutospacing="0" w:after="0" w:afterAutospacing="0" w:line="432" w:lineRule="atLeast"/>
        <w:ind w:left="0" w:right="0" w:firstLine="480"/>
        <w:jc w:val="both"/>
        <w:rPr>
          <w:rFonts w:hint="default" w:ascii="Times New Roman" w:hAnsi="Times New Roman" w:cs="Times New Roman"/>
          <w:sz w:val="21"/>
          <w:szCs w:val="21"/>
        </w:rPr>
      </w:pPr>
      <w:r>
        <w:rPr>
          <w:rFonts w:hint="eastAsia" w:ascii="宋体" w:hAnsi="宋体" w:eastAsia="宋体" w:cs="宋体"/>
          <w:b/>
          <w:bCs/>
          <w:color w:val="333333"/>
          <w:sz w:val="32"/>
          <w:szCs w:val="32"/>
        </w:rPr>
        <w:t> </w:t>
      </w:r>
    </w:p>
    <w:p>
      <w:pPr>
        <w:pStyle w:val="2"/>
        <w:keepNext w:val="0"/>
        <w:keepLines w:val="0"/>
        <w:widowControl/>
        <w:suppressLineNumbers w:val="0"/>
        <w:spacing w:before="0" w:beforeAutospacing="0" w:after="0" w:afterAutospacing="0" w:line="432" w:lineRule="atLeast"/>
        <w:ind w:left="0" w:right="0" w:firstLine="480"/>
        <w:jc w:val="both"/>
        <w:rPr>
          <w:sz w:val="21"/>
          <w:szCs w:val="21"/>
        </w:rPr>
      </w:pPr>
      <w:r>
        <w:rPr>
          <w:rFonts w:hint="eastAsia" w:ascii="黑体" w:hAnsi="宋体" w:eastAsia="黑体" w:cs="黑体"/>
          <w:color w:val="000000"/>
          <w:sz w:val="32"/>
          <w:szCs w:val="32"/>
        </w:rPr>
        <w:t>五、存在的主要问题及改进情况</w:t>
      </w:r>
    </w:p>
    <w:p>
      <w:pPr>
        <w:pStyle w:val="2"/>
        <w:keepNext w:val="0"/>
        <w:keepLines w:val="0"/>
        <w:widowControl/>
        <w:suppressLineNumbers w:val="0"/>
        <w:spacing w:before="0" w:beforeAutospacing="0" w:after="0" w:afterAutospacing="0" w:line="450" w:lineRule="atLeast"/>
        <w:ind w:left="0" w:right="0" w:firstLine="480"/>
        <w:rPr>
          <w:rFonts w:hint="eastAsia" w:ascii="宋体" w:hAnsi="宋体" w:eastAsia="宋体" w:cs="宋体"/>
          <w:sz w:val="24"/>
          <w:szCs w:val="24"/>
        </w:rPr>
      </w:pPr>
      <w:r>
        <w:rPr>
          <w:rFonts w:hint="eastAsia" w:ascii="宋体" w:hAnsi="宋体" w:eastAsia="宋体" w:cs="宋体"/>
          <w:color w:val="000000"/>
          <w:sz w:val="32"/>
          <w:szCs w:val="32"/>
        </w:rPr>
        <w:t>（一）存在的不足。</w:t>
      </w:r>
      <w:r>
        <w:rPr>
          <w:rFonts w:hint="eastAsia" w:ascii="宋体" w:hAnsi="宋体" w:eastAsia="宋体" w:cs="宋体"/>
          <w:color w:val="000000"/>
          <w:sz w:val="32"/>
          <w:szCs w:val="32"/>
          <w:shd w:val="clear" w:fill="FFFFFF"/>
        </w:rPr>
        <w:t>一是公开的内容部分栏目不全面、不够准确。特别是文字解读、负责人解读等解读栏目未按要求公开。二是新媒体的更新数量较少，和去年的发布量虽略有增加，但仍需进一步扩大新媒体的关注量，并增加发布数量。</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宋体" w:hAnsi="宋体" w:eastAsia="宋体" w:cs="宋体"/>
          <w:color w:val="000000"/>
          <w:sz w:val="32"/>
          <w:szCs w:val="32"/>
          <w:shd w:val="clear" w:fill="FFFFFF"/>
        </w:rPr>
        <w:t>（二）改进措施。一是完善相关制度建设。在现有制度的基础上，建立健全内部沟通协调机制。实现公开的制度化、常态化，形成政务公开的长效机制。二是规范公开内容。进一步加强政务公开目录建设，完善政务公开内容。从政府信息公开的重点领域入手，不断提高公开信息的全面性、时效性和规范性，着重做好政策解读、回应关切和意见征集几个栏目的更新发布工作，特别是群众关注、涉及群众切身利益政务信息的公开，在保证数量的前提下，提高质量。</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宋体" w:hAnsi="宋体" w:eastAsia="宋体" w:cs="宋体"/>
          <w:color w:val="000000"/>
          <w:sz w:val="32"/>
          <w:szCs w:val="32"/>
          <w:shd w:val="clear" w:fill="FFFFFF"/>
        </w:rPr>
        <w:t>三是加强培训。进一步增强认识，重点做好新修订的《政府信息公开条例》的学习和培训。</w:t>
      </w:r>
    </w:p>
    <w:p>
      <w:pPr>
        <w:pStyle w:val="2"/>
        <w:keepNext w:val="0"/>
        <w:keepLines w:val="0"/>
        <w:widowControl/>
        <w:suppressLineNumbers w:val="0"/>
        <w:spacing w:before="0" w:beforeAutospacing="0" w:after="0" w:afterAutospacing="0" w:line="450" w:lineRule="atLeast"/>
        <w:ind w:left="0" w:right="0" w:firstLine="643"/>
        <w:rPr>
          <w:sz w:val="24"/>
          <w:szCs w:val="24"/>
        </w:rPr>
      </w:pPr>
      <w:r>
        <w:rPr>
          <w:rFonts w:hint="eastAsia" w:ascii="黑体" w:hAnsi="宋体" w:eastAsia="黑体" w:cs="黑体"/>
          <w:color w:val="000000"/>
          <w:sz w:val="32"/>
          <w:szCs w:val="32"/>
        </w:rPr>
        <w:t>六、其他需要报告的事项</w:t>
      </w:r>
    </w:p>
    <w:p>
      <w:pPr>
        <w:pStyle w:val="2"/>
        <w:keepNext w:val="0"/>
        <w:keepLines w:val="0"/>
        <w:widowControl/>
        <w:suppressLineNumbers w:val="0"/>
        <w:spacing w:before="0" w:beforeAutospacing="0" w:after="0" w:afterAutospacing="0" w:line="450" w:lineRule="atLeast"/>
        <w:ind w:left="0" w:right="0" w:firstLine="640"/>
        <w:rPr>
          <w:rFonts w:hint="eastAsia" w:ascii="宋体" w:hAnsi="宋体" w:eastAsia="宋体" w:cs="宋体"/>
          <w:sz w:val="24"/>
          <w:szCs w:val="24"/>
        </w:rPr>
      </w:pPr>
      <w:r>
        <w:rPr>
          <w:rFonts w:hint="eastAsia" w:ascii="宋体" w:hAnsi="宋体" w:eastAsia="宋体" w:cs="宋体"/>
          <w:color w:val="000000"/>
          <w:sz w:val="32"/>
          <w:szCs w:val="32"/>
        </w:rPr>
        <w:t>无。</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yZGYxZTMwN2JlNWYwNzc3NWY2M2E5MTkyYTMwNDAifQ=="/>
    <w:docVar w:name="KSO_WPS_MARK_KEY" w:val="ce0c20dc-d9eb-4d47-82bb-ca660b10ad6d"/>
  </w:docVars>
  <w:rsids>
    <w:rsidRoot w:val="00000000"/>
    <w:rsid w:val="11766E71"/>
    <w:rsid w:val="19611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2470</Words>
  <Characters>2574</Characters>
  <Lines>0</Lines>
  <Paragraphs>0</Paragraphs>
  <TotalTime>79</TotalTime>
  <ScaleCrop>false</ScaleCrop>
  <LinksUpToDate>false</LinksUpToDate>
  <CharactersWithSpaces>2755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2024-05-29T03:56:00Z</dcterms:created>
  <dc:creator>Administrator</dc:creator>
  <cp:lastModifiedBy>潇潇</cp:lastModifiedBy>
  <cp:lastPrinted>2024-05-29T03:57:00Z</cp:lastPrinted>
  <dcterms:modified xsi:type="dcterms:W3CDTF">2024-05-31T10:38:23Z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05C803BA886845AF8BD40E1ADC0F5839_13</vt:lpwstr>
  </property>
</Properties>
</file>