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spacing w:line="580" w:lineRule="exact"/>
        <w:jc w:val="center"/>
        <w:rPr>
          <w:rFonts w:ascii="仿宋" w:hAnsi="仿宋" w:eastAsia="仿宋" w:cs="仿宋"/>
          <w:sz w:val="32"/>
          <w:szCs w:val="32"/>
        </w:rPr>
      </w:pPr>
      <w:r>
        <w:rPr>
          <w:rFonts w:hint="eastAsia" w:ascii="黑体" w:hAnsi="黑体" w:eastAsia="黑体" w:cs="宋体"/>
          <w:b/>
          <w:color w:val="333333"/>
          <w:sz w:val="40"/>
          <w:szCs w:val="40"/>
          <w:lang w:eastAsia="zh-CN"/>
        </w:rPr>
        <w:t>安徽淮南田家庵经济开发区东片区1</w:t>
      </w:r>
      <w:r>
        <w:rPr>
          <w:rFonts w:hint="eastAsia" w:ascii="黑体" w:hAnsi="黑体" w:eastAsia="黑体" w:cs="宋体"/>
          <w:b/>
          <w:color w:val="333333"/>
          <w:sz w:val="40"/>
          <w:szCs w:val="40"/>
        </w:rPr>
        <w:t>土地征收成片开发方案（征求意见稿）</w:t>
      </w:r>
    </w:p>
    <w:p>
      <w:pPr>
        <w:spacing w:line="580" w:lineRule="exact"/>
        <w:jc w:val="center"/>
        <w:rPr>
          <w:rFonts w:ascii="仿宋" w:hAnsi="仿宋" w:eastAsia="仿宋" w:cs="仿宋"/>
          <w:sz w:val="32"/>
          <w:szCs w:val="32"/>
        </w:rPr>
      </w:pPr>
    </w:p>
    <w:p>
      <w:pPr>
        <w:numPr>
          <w:ilvl w:val="0"/>
          <w:numId w:val="1"/>
        </w:numPr>
        <w:spacing w:line="530" w:lineRule="exact"/>
        <w:ind w:firstLine="640" w:firstLineChars="200"/>
        <w:rPr>
          <w:rFonts w:ascii="仿宋" w:hAnsi="仿宋" w:eastAsia="仿宋" w:cs="仿宋"/>
          <w:sz w:val="32"/>
          <w:szCs w:val="32"/>
        </w:rPr>
      </w:pPr>
      <w:r>
        <w:rPr>
          <w:rFonts w:hint="eastAsia" w:ascii="仿宋" w:hAnsi="仿宋" w:eastAsia="仿宋" w:cs="仿宋"/>
          <w:sz w:val="32"/>
          <w:szCs w:val="32"/>
        </w:rPr>
        <w:t>成片开发基本情况</w:t>
      </w:r>
    </w:p>
    <w:p>
      <w:pPr>
        <w:spacing w:line="530" w:lineRule="exact"/>
        <w:ind w:firstLine="640" w:firstLineChars="200"/>
        <w:rPr>
          <w:rFonts w:ascii="仿宋" w:hAnsi="仿宋" w:eastAsia="仿宋" w:cs="仿宋"/>
          <w:sz w:val="32"/>
          <w:szCs w:val="32"/>
        </w:rPr>
      </w:pPr>
      <w:r>
        <w:rPr>
          <w:rFonts w:hint="eastAsia" w:ascii="仿宋" w:hAnsi="仿宋" w:eastAsia="仿宋" w:cs="仿宋"/>
          <w:sz w:val="32"/>
          <w:szCs w:val="32"/>
        </w:rPr>
        <w:t>本片区位于安徽淮南田家庵经济开发区东部，东至庵合大道，南至合淮路，西至新桥路，北至淮仁路；涉及曹庵镇孤堆村，总面积 82.4134公顷，拟征收其中82.4134公顷土地。</w:t>
      </w:r>
    </w:p>
    <w:p>
      <w:pPr>
        <w:spacing w:line="530" w:lineRule="exact"/>
        <w:ind w:firstLine="640" w:firstLineChars="200"/>
        <w:rPr>
          <w:rFonts w:ascii="仿宋" w:hAnsi="仿宋" w:eastAsia="仿宋" w:cs="仿宋"/>
          <w:sz w:val="32"/>
          <w:szCs w:val="32"/>
        </w:rPr>
      </w:pPr>
      <w:r>
        <w:rPr>
          <w:rFonts w:hint="eastAsia" w:ascii="仿宋" w:hAnsi="仿宋" w:eastAsia="仿宋" w:cs="仿宋"/>
          <w:sz w:val="32"/>
          <w:szCs w:val="32"/>
        </w:rPr>
        <w:t>二、成片开发调整的必要性、主要用途和实现的功能</w:t>
      </w:r>
    </w:p>
    <w:p>
      <w:pPr>
        <w:spacing w:line="530" w:lineRule="exact"/>
        <w:ind w:firstLine="640" w:firstLineChars="200"/>
        <w:rPr>
          <w:rFonts w:ascii="仿宋" w:hAnsi="仿宋" w:eastAsia="仿宋" w:cs="仿宋"/>
          <w:sz w:val="32"/>
          <w:szCs w:val="32"/>
        </w:rPr>
      </w:pPr>
      <w:r>
        <w:rPr>
          <w:rFonts w:hint="eastAsia" w:ascii="仿宋" w:hAnsi="仿宋" w:eastAsia="仿宋" w:cs="仿宋"/>
          <w:sz w:val="32"/>
          <w:szCs w:val="32"/>
        </w:rPr>
        <w:t>1、成片开发必要性：</w:t>
      </w: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片区拟实现工业发展功能和综合服务功能，主导产业是电子制造产业，创新科技产业，规划建设的几个工业项目都符合产业定位，有助于进一步将园区快速打造为“产业集聚，创新驱动，布局集中”的现代化、高效能的经济开发区</w:t>
      </w:r>
      <w:r>
        <w:rPr>
          <w:rFonts w:hint="eastAsia" w:ascii="仿宋" w:hAnsi="仿宋" w:eastAsia="仿宋" w:cs="仿宋"/>
          <w:sz w:val="32"/>
          <w:szCs w:val="32"/>
        </w:rPr>
        <w:t>。通过对本片区的成片开发建设，进一步优化</w:t>
      </w: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田家庵经济开发区东部</w:t>
      </w:r>
      <w:r>
        <w:rPr>
          <w:rFonts w:hint="eastAsia" w:ascii="仿宋" w:hAnsi="仿宋" w:eastAsia="仿宋" w:cs="仿宋"/>
          <w:sz w:val="32"/>
          <w:szCs w:val="32"/>
        </w:rPr>
        <w:t>的</w:t>
      </w: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土地利用效率</w:t>
      </w:r>
      <w:r>
        <w:rPr>
          <w:rFonts w:hint="eastAsia" w:ascii="仿宋" w:hAnsi="仿宋" w:eastAsia="仿宋" w:cs="仿宋"/>
          <w:sz w:val="32"/>
          <w:szCs w:val="32"/>
        </w:rPr>
        <w:t>，完善配套设施，保障城市发展的产业空间，提高土地利用效率，促进土地集约节约利用，为推动本片区的高质量发展具有重要现实意义。</w:t>
      </w:r>
    </w:p>
    <w:p>
      <w:pPr>
        <w:spacing w:line="530" w:lineRule="exact"/>
        <w:ind w:firstLine="640" w:firstLineChars="200"/>
        <w:rPr>
          <w:rFonts w:ascii="仿宋" w:hAnsi="仿宋" w:eastAsia="仿宋" w:cs="仿宋"/>
          <w:sz w:val="32"/>
          <w:szCs w:val="32"/>
        </w:rPr>
      </w:pPr>
      <w:r>
        <w:rPr>
          <w:rFonts w:hint="eastAsia" w:ascii="仿宋" w:hAnsi="仿宋" w:eastAsia="仿宋" w:cs="仿宋"/>
          <w:sz w:val="32"/>
          <w:szCs w:val="32"/>
        </w:rPr>
        <w:t>2、成片开发主要规划用途：成片开发区域内用地主要用途为</w:t>
      </w: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工业</w:t>
      </w:r>
      <w:r>
        <w:rPr>
          <w:rFonts w:hint="eastAsia" w:ascii="仿宋" w:hAnsi="仿宋" w:eastAsia="仿宋" w:cs="仿宋"/>
          <w:sz w:val="32"/>
          <w:szCs w:val="32"/>
        </w:rPr>
        <w:t>用地、科研用地</w:t>
      </w:r>
      <w:r>
        <w:rPr>
          <w:rFonts w:hint="eastAsia" w:ascii="仿宋" w:hAnsi="仿宋" w:eastAsia="仿宋" w:cs="仿宋"/>
          <w:sz w:val="32"/>
          <w:szCs w:val="32"/>
          <w:lang w:eastAsia="zh-CN"/>
        </w:rPr>
        <w:t>、供电用地、</w:t>
      </w:r>
      <w:r>
        <w:rPr>
          <w:rFonts w:hint="eastAsia" w:ascii="仿宋" w:hAnsi="仿宋" w:eastAsia="仿宋" w:cs="仿宋"/>
          <w:sz w:val="32"/>
          <w:szCs w:val="32"/>
        </w:rPr>
        <w:t>城镇道路用地、防护绿地等。</w:t>
      </w:r>
    </w:p>
    <w:p>
      <w:pPr>
        <w:spacing w:line="530" w:lineRule="exact"/>
        <w:ind w:firstLine="640" w:firstLineChars="200"/>
        <w:rPr>
          <w:rFonts w:ascii="仿宋" w:hAnsi="仿宋" w:eastAsia="仿宋" w:cs="仿宋"/>
          <w:sz w:val="32"/>
          <w:szCs w:val="32"/>
        </w:rPr>
      </w:pPr>
      <w:r>
        <w:rPr>
          <w:rFonts w:hint="eastAsia" w:ascii="仿宋" w:hAnsi="仿宋" w:eastAsia="仿宋" w:cs="仿宋"/>
          <w:sz w:val="32"/>
          <w:szCs w:val="32"/>
        </w:rPr>
        <w:t>3、成片开发拟实现的功能：通过成片开发，</w:t>
      </w: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积极引入创新科技、材料制造等产业实现片区工业发展功能</w:t>
      </w:r>
      <w:r>
        <w:rPr>
          <w:rFonts w:hint="eastAsia" w:ascii="仿宋" w:hAnsi="仿宋" w:eastAsia="仿宋" w:cs="仿宋"/>
          <w:sz w:val="32"/>
          <w:szCs w:val="32"/>
        </w:rPr>
        <w:t>。</w:t>
      </w:r>
    </w:p>
    <w:p>
      <w:pPr>
        <w:spacing w:line="530" w:lineRule="exact"/>
        <w:ind w:firstLine="640" w:firstLineChars="200"/>
        <w:rPr>
          <w:rFonts w:ascii="仿宋" w:hAnsi="仿宋" w:eastAsia="仿宋" w:cs="仿宋"/>
          <w:sz w:val="32"/>
          <w:szCs w:val="32"/>
        </w:rPr>
      </w:pPr>
      <w:r>
        <w:rPr>
          <w:rFonts w:hint="eastAsia" w:ascii="仿宋" w:hAnsi="仿宋" w:eastAsia="仿宋" w:cs="仿宋"/>
          <w:sz w:val="32"/>
          <w:szCs w:val="32"/>
        </w:rPr>
        <w:t>三、规划符合性</w:t>
      </w:r>
    </w:p>
    <w:p>
      <w:pPr>
        <w:spacing w:line="530" w:lineRule="exact"/>
        <w:ind w:firstLine="640" w:firstLineChars="200"/>
        <w:rPr>
          <w:rFonts w:ascii="仿宋" w:hAnsi="仿宋" w:eastAsia="仿宋" w:cs="仿宋"/>
          <w:sz w:val="32"/>
          <w:szCs w:val="32"/>
        </w:rPr>
      </w:pPr>
      <w:r>
        <w:rPr>
          <w:rFonts w:hint="eastAsia" w:ascii="仿宋" w:hAnsi="仿宋" w:eastAsia="仿宋" w:cs="仿宋"/>
          <w:sz w:val="32"/>
          <w:szCs w:val="32"/>
        </w:rPr>
        <w:t>本方案编制依据《淮南市国土空间总体规划（2021-2035年）</w:t>
      </w:r>
      <w:r>
        <w:rPr>
          <w:rFonts w:ascii="仿宋" w:hAnsi="仿宋" w:eastAsia="仿宋" w:cs="仿宋"/>
          <w:sz w:val="32"/>
          <w:szCs w:val="32"/>
        </w:rPr>
        <w:t>》、</w:t>
      </w:r>
      <w:r>
        <w:rPr>
          <w:rFonts w:hint="eastAsia" w:ascii="仿宋" w:hAnsi="仿宋" w:eastAsia="仿宋" w:cs="仿宋"/>
          <w:sz w:val="32"/>
          <w:szCs w:val="32"/>
        </w:rPr>
        <w:t>《淮南市国民经济和社会发展第十四个五年规划和2035年远景目标纲要</w:t>
      </w:r>
      <w:r>
        <w:rPr>
          <w:rFonts w:ascii="仿宋" w:hAnsi="仿宋" w:eastAsia="仿宋" w:cs="仿宋"/>
          <w:sz w:val="32"/>
          <w:szCs w:val="32"/>
        </w:rPr>
        <w:t>》。已将当年实施计划纳入202</w:t>
      </w:r>
      <w:r>
        <w:rPr>
          <w:rFonts w:hint="default" w:ascii="仿宋" w:hAnsi="仿宋" w:eastAsia="仿宋" w:cs="仿宋"/>
          <w:sz w:val="32"/>
          <w:szCs w:val="32"/>
          <w:lang w:val="en" w:eastAsia="zh-CN"/>
        </w:rPr>
        <w:t>4</w:t>
      </w:r>
      <w:bookmarkStart w:id="0" w:name="_GoBack"/>
      <w:bookmarkEnd w:id="0"/>
      <w:r>
        <w:rPr>
          <w:rFonts w:ascii="仿宋" w:hAnsi="仿宋" w:eastAsia="仿宋" w:cs="仿宋"/>
          <w:sz w:val="32"/>
          <w:szCs w:val="32"/>
        </w:rPr>
        <w:t>年国民经济和社会发展年度计划，并承诺将后续实施计划纳入当年度国民经济和社会发展年度计划。</w:t>
      </w:r>
      <w:r>
        <w:rPr>
          <w:rFonts w:hint="eastAsia" w:ascii="仿宋" w:hAnsi="仿宋" w:eastAsia="仿宋" w:cs="仿宋"/>
          <w:sz w:val="32"/>
          <w:szCs w:val="32"/>
        </w:rPr>
        <w:t>本片区</w:t>
      </w:r>
      <w:r>
        <w:rPr>
          <w:rFonts w:ascii="仿宋" w:hAnsi="仿宋" w:eastAsia="仿宋" w:cs="仿宋"/>
          <w:sz w:val="32"/>
          <w:szCs w:val="32"/>
        </w:rPr>
        <w:t>全部位于</w:t>
      </w:r>
      <w:r>
        <w:rPr>
          <w:rFonts w:hint="eastAsia" w:ascii="仿宋" w:hAnsi="仿宋" w:eastAsia="仿宋" w:cs="仿宋"/>
          <w:sz w:val="32"/>
          <w:szCs w:val="32"/>
        </w:rPr>
        <w:t>《</w:t>
      </w: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淮南</w:t>
      </w:r>
      <w:r>
        <w:rPr>
          <w:rFonts w:hint="eastAsia" w:ascii="仿宋" w:hAnsi="仿宋" w:eastAsia="仿宋" w:cs="仿宋"/>
          <w:sz w:val="32"/>
          <w:szCs w:val="32"/>
        </w:rPr>
        <w:t>市国土空间总体规划</w:t>
      </w:r>
      <w:r>
        <w:rPr>
          <w:rFonts w:ascii="仿宋" w:hAnsi="仿宋" w:eastAsia="仿宋" w:cs="仿宋"/>
          <w:sz w:val="32"/>
          <w:szCs w:val="32"/>
        </w:rPr>
        <w:t>(2021-2035年)》</w:t>
      </w:r>
      <w:r>
        <w:rPr>
          <w:rFonts w:hint="eastAsia" w:ascii="仿宋" w:hAnsi="仿宋" w:eastAsia="仿宋" w:cs="仿宋"/>
          <w:sz w:val="32"/>
          <w:szCs w:val="32"/>
        </w:rPr>
        <w:t>“三区三线”划定成果</w:t>
      </w:r>
      <w:r>
        <w:rPr>
          <w:rFonts w:ascii="仿宋" w:hAnsi="仿宋" w:eastAsia="仿宋" w:cs="仿宋"/>
          <w:sz w:val="32"/>
          <w:szCs w:val="32"/>
        </w:rPr>
        <w:t>中确定的</w:t>
      </w:r>
      <w:r>
        <w:rPr>
          <w:rFonts w:hint="eastAsia" w:ascii="仿宋" w:hAnsi="仿宋" w:eastAsia="仿宋" w:cs="仿宋"/>
          <w:sz w:val="32"/>
          <w:szCs w:val="32"/>
        </w:rPr>
        <w:t>城镇开发边界内的集中建设区</w:t>
      </w:r>
      <w:r>
        <w:rPr>
          <w:rFonts w:ascii="仿宋" w:hAnsi="仿宋" w:eastAsia="仿宋" w:cs="仿宋"/>
          <w:sz w:val="32"/>
          <w:szCs w:val="32"/>
        </w:rPr>
        <w:t>，</w:t>
      </w:r>
      <w:r>
        <w:rPr>
          <w:rFonts w:hint="eastAsia" w:ascii="仿宋" w:hAnsi="仿宋" w:eastAsia="仿宋" w:cs="仿宋"/>
          <w:sz w:val="32"/>
          <w:szCs w:val="32"/>
        </w:rPr>
        <w:t>未</w:t>
      </w:r>
      <w:r>
        <w:rPr>
          <w:rFonts w:ascii="仿宋" w:hAnsi="仿宋" w:eastAsia="仿宋" w:cs="仿宋"/>
          <w:sz w:val="32"/>
          <w:szCs w:val="32"/>
        </w:rPr>
        <w:t>涉及占用生态保护红线、永久基本农田。</w:t>
      </w:r>
    </w:p>
    <w:p>
      <w:pPr>
        <w:spacing w:line="530" w:lineRule="exact"/>
        <w:ind w:firstLine="640" w:firstLineChars="200"/>
        <w:rPr>
          <w:rFonts w:ascii="仿宋" w:hAnsi="仿宋" w:eastAsia="仿宋" w:cs="仿宋"/>
          <w:sz w:val="32"/>
          <w:szCs w:val="32"/>
        </w:rPr>
      </w:pPr>
      <w:r>
        <w:rPr>
          <w:rFonts w:hint="eastAsia" w:ascii="仿宋" w:hAnsi="仿宋" w:eastAsia="仿宋" w:cs="仿宋"/>
          <w:sz w:val="32"/>
          <w:szCs w:val="32"/>
        </w:rPr>
        <w:t>四、成片开发计划</w:t>
      </w:r>
    </w:p>
    <w:p>
      <w:pPr>
        <w:spacing w:line="530" w:lineRule="exact"/>
        <w:ind w:firstLine="640" w:firstLineChars="200"/>
        <w:rPr>
          <w:rFonts w:ascii="仿宋" w:hAnsi="仿宋" w:eastAsia="仿宋" w:cs="仿宋"/>
          <w:sz w:val="32"/>
          <w:szCs w:val="32"/>
        </w:rPr>
      </w:pPr>
      <w:r>
        <w:rPr>
          <w:rFonts w:hint="eastAsia" w:ascii="仿宋" w:hAnsi="仿宋" w:eastAsia="仿宋" w:cs="仿宋"/>
          <w:sz w:val="32"/>
          <w:szCs w:val="32"/>
        </w:rPr>
        <w:t>成片开发区域内拟建项目包括工业设施项目、交通运输设施项目、道路防护绿地等，《方案》实施期限为</w:t>
      </w:r>
      <w:r>
        <w:rPr>
          <w:rFonts w:ascii="仿宋" w:hAnsi="仿宋" w:eastAsia="仿宋" w:cs="仿宋"/>
          <w:sz w:val="32"/>
          <w:szCs w:val="32"/>
        </w:rPr>
        <w:t>2024-202</w:t>
      </w: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7</w:t>
      </w:r>
      <w:r>
        <w:rPr>
          <w:rFonts w:hint="eastAsia" w:ascii="仿宋" w:hAnsi="仿宋" w:eastAsia="仿宋" w:cs="仿宋"/>
          <w:sz w:val="32"/>
          <w:szCs w:val="32"/>
        </w:rPr>
        <w:t>年，分批次完成征地计划。</w:t>
      </w:r>
    </w:p>
    <w:p>
      <w:pPr>
        <w:spacing w:line="530" w:lineRule="exact"/>
        <w:ind w:firstLine="640" w:firstLineChars="200"/>
        <w:rPr>
          <w:rFonts w:ascii="仿宋" w:hAnsi="仿宋" w:eastAsia="仿宋" w:cs="仿宋"/>
          <w:sz w:val="32"/>
          <w:szCs w:val="32"/>
        </w:rPr>
      </w:pPr>
      <w:r>
        <w:rPr>
          <w:rFonts w:hint="eastAsia" w:ascii="仿宋" w:hAnsi="仿宋" w:eastAsia="仿宋" w:cs="仿宋"/>
          <w:sz w:val="32"/>
          <w:szCs w:val="32"/>
        </w:rPr>
        <w:t>五、成片开发的基础设施、公共服务设施以及其他公益性用地比例</w:t>
      </w:r>
    </w:p>
    <w:p>
      <w:pPr>
        <w:spacing w:line="530" w:lineRule="exact"/>
        <w:ind w:firstLine="640" w:firstLineChars="200"/>
        <w:rPr>
          <w:rFonts w:ascii="仿宋" w:hAnsi="仿宋" w:eastAsia="仿宋" w:cs="仿宋"/>
          <w:sz w:val="32"/>
          <w:szCs w:val="32"/>
        </w:rPr>
      </w:pPr>
      <w:r>
        <w:rPr>
          <w:rFonts w:hint="eastAsia" w:ascii="仿宋" w:hAnsi="仿宋" w:eastAsia="仿宋" w:cs="仿宋"/>
          <w:sz w:val="32"/>
          <w:szCs w:val="32"/>
        </w:rPr>
        <w:t>成片开发范围内，基础设施、公共服务设施以及其他公益性用地比例为25.01%</w:t>
      </w:r>
      <w:r>
        <w:rPr>
          <w:rFonts w:ascii="仿宋" w:hAnsi="仿宋" w:eastAsia="仿宋" w:cs="仿宋"/>
          <w:sz w:val="32"/>
          <w:szCs w:val="32"/>
        </w:rPr>
        <w:t>。</w:t>
      </w:r>
      <w:r>
        <w:rPr>
          <w:rFonts w:hint="eastAsia" w:ascii="仿宋" w:hAnsi="仿宋" w:eastAsia="仿宋" w:cs="仿宋"/>
          <w:sz w:val="32"/>
          <w:szCs w:val="32"/>
        </w:rPr>
        <w:t>满足《自然资源部关于印发&lt;土地征收成片开发标准&gt;的通知》（自然资规〔2023〕7号）、《安徽省土地征收成片开发标准实施细则》（皖自然资规〔2021〕4号）对满足经依法批准的以工业为主的开发区在保障产城融合、职住平衡发展的前提下，基础设施、公共服务设施以及其他公益性用地占比不低于</w:t>
      </w: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25</w:t>
      </w:r>
      <w:r>
        <w:rPr>
          <w:rFonts w:hint="eastAsia" w:ascii="仿宋" w:hAnsi="仿宋" w:eastAsia="仿宋" w:cs="仿宋"/>
          <w:sz w:val="32"/>
          <w:szCs w:val="32"/>
        </w:rPr>
        <w:t>%的要求。</w:t>
      </w:r>
    </w:p>
    <w:p>
      <w:pPr>
        <w:spacing w:line="530" w:lineRule="exact"/>
        <w:ind w:firstLine="640" w:firstLineChars="200"/>
        <w:rPr>
          <w:rFonts w:ascii="仿宋" w:hAnsi="仿宋" w:eastAsia="仿宋" w:cs="仿宋"/>
          <w:sz w:val="32"/>
          <w:szCs w:val="32"/>
        </w:rPr>
      </w:pPr>
      <w:r>
        <w:rPr>
          <w:rFonts w:hint="eastAsia" w:ascii="仿宋" w:hAnsi="仿宋" w:eastAsia="仿宋" w:cs="仿宋"/>
          <w:sz w:val="32"/>
          <w:szCs w:val="32"/>
        </w:rPr>
        <w:t>六、成片开发方案可行性</w:t>
      </w:r>
    </w:p>
    <w:p>
      <w:pPr>
        <w:spacing w:line="530" w:lineRule="exact"/>
        <w:ind w:firstLine="640" w:firstLineChars="200"/>
        <w:rPr>
          <w:rFonts w:ascii="仿宋" w:hAnsi="仿宋" w:eastAsia="仿宋" w:cs="仿宋"/>
          <w:sz w:val="32"/>
          <w:szCs w:val="32"/>
        </w:rPr>
      </w:pPr>
      <w:r>
        <w:rPr>
          <w:rFonts w:ascii="仿宋" w:hAnsi="仿宋" w:eastAsia="仿宋" w:cs="仿宋"/>
          <w:sz w:val="32"/>
          <w:szCs w:val="32"/>
        </w:rPr>
        <w:t>在</w:t>
      </w: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社会</w:t>
      </w:r>
      <w:r>
        <w:rPr>
          <w:rFonts w:hint="eastAsia" w:ascii="仿宋" w:hAnsi="仿宋" w:eastAsia="仿宋" w:cs="仿宋"/>
          <w:sz w:val="32"/>
          <w:szCs w:val="32"/>
        </w:rPr>
        <w:t>效益</w:t>
      </w:r>
      <w:r>
        <w:rPr>
          <w:rFonts w:ascii="仿宋" w:hAnsi="仿宋" w:eastAsia="仿宋" w:cs="仿宋"/>
          <w:sz w:val="32"/>
          <w:szCs w:val="32"/>
        </w:rPr>
        <w:t>方面:</w:t>
      </w:r>
      <w:r>
        <w:rPr>
          <w:rFonts w:hint="eastAsia" w:ascii="仿宋" w:hAnsi="仿宋" w:eastAsia="仿宋" w:cs="仿宋"/>
          <w:sz w:val="32"/>
          <w:szCs w:val="32"/>
        </w:rPr>
        <w:t>本成片开发方案的实施，</w:t>
      </w: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可以</w:t>
      </w:r>
      <w:r>
        <w:rPr>
          <w:rFonts w:hint="eastAsia" w:ascii="仿宋" w:hAnsi="仿宋" w:eastAsia="仿宋" w:cs="仿宋"/>
          <w:sz w:val="32"/>
          <w:szCs w:val="32"/>
        </w:rPr>
        <w:t>加速城市路网的建设</w:t>
      </w:r>
      <w:r>
        <w:rPr>
          <w:rFonts w:hint="eastAsia" w:ascii="仿宋" w:hAnsi="仿宋" w:eastAsia="仿宋" w:cs="仿宋"/>
          <w:sz w:val="32"/>
          <w:szCs w:val="32"/>
          <w:lang w:eastAsia="zh-CN"/>
        </w:rPr>
        <w:t>，</w:t>
      </w:r>
      <w:r>
        <w:rPr>
          <w:rFonts w:hint="eastAsia" w:ascii="仿宋" w:hAnsi="仿宋" w:eastAsia="仿宋" w:cs="仿宋"/>
          <w:sz w:val="32"/>
          <w:szCs w:val="32"/>
        </w:rPr>
        <w:t>拓展城市发展空间。</w:t>
      </w: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带动就业</w:t>
      </w:r>
      <w:r>
        <w:rPr>
          <w:rFonts w:hint="eastAsia" w:ascii="仿宋" w:hAnsi="仿宋" w:eastAsia="仿宋" w:cs="仿宋"/>
          <w:sz w:val="32"/>
          <w:szCs w:val="32"/>
        </w:rPr>
        <w:t>，缓解就业矛盾，提高城乡居民收入水平，</w:t>
      </w: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加快城镇化进程。</w:t>
      </w:r>
    </w:p>
    <w:p>
      <w:pPr>
        <w:spacing w:line="530" w:lineRule="exact"/>
        <w:ind w:firstLine="640" w:firstLineChars="200"/>
        <w:rPr>
          <w:rFonts w:ascii="仿宋" w:hAnsi="仿宋" w:eastAsia="仿宋" w:cs="仿宋"/>
          <w:sz w:val="32"/>
          <w:szCs w:val="32"/>
        </w:rPr>
      </w:pPr>
      <w:r>
        <w:rPr>
          <w:rFonts w:ascii="仿宋" w:hAnsi="仿宋" w:eastAsia="仿宋" w:cs="仿宋"/>
          <w:sz w:val="32"/>
          <w:szCs w:val="32"/>
        </w:rPr>
        <w:t>在</w:t>
      </w: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生态</w:t>
      </w:r>
      <w:r>
        <w:rPr>
          <w:rFonts w:hint="eastAsia" w:ascii="仿宋" w:hAnsi="仿宋" w:eastAsia="仿宋" w:cs="仿宋"/>
          <w:sz w:val="32"/>
          <w:szCs w:val="32"/>
        </w:rPr>
        <w:t>效益</w:t>
      </w:r>
      <w:r>
        <w:rPr>
          <w:rFonts w:ascii="仿宋" w:hAnsi="仿宋" w:eastAsia="仿宋" w:cs="仿宋"/>
          <w:sz w:val="32"/>
          <w:szCs w:val="32"/>
        </w:rPr>
        <w:t>方面:</w:t>
      </w:r>
      <w:r>
        <w:rPr>
          <w:rFonts w:hint="eastAsia" w:ascii="仿宋" w:hAnsi="仿宋" w:eastAsia="仿宋" w:cs="仿宋"/>
          <w:sz w:val="32"/>
          <w:szCs w:val="32"/>
        </w:rPr>
        <w:t>本成片开发方案的实施，在</w:t>
      </w: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合淮</w:t>
      </w:r>
      <w:r>
        <w:rPr>
          <w:rFonts w:hint="eastAsia" w:ascii="仿宋" w:hAnsi="仿宋" w:eastAsia="仿宋" w:cs="仿宋"/>
          <w:sz w:val="32"/>
          <w:szCs w:val="32"/>
        </w:rPr>
        <w:t>路北侧规划了道路防护绿地，规划工业项目有防护绿地包围，最大限度保障企业与自然和谐相处</w:t>
      </w:r>
      <w:r>
        <w:rPr>
          <w:rFonts w:hint="eastAsia" w:ascii="仿宋" w:hAnsi="仿宋" w:eastAsia="仿宋" w:cs="仿宋"/>
          <w:sz w:val="32"/>
          <w:szCs w:val="32"/>
          <w:lang w:eastAsia="zh-CN"/>
        </w:rPr>
        <w:t>。</w:t>
      </w:r>
      <w:r>
        <w:rPr>
          <w:rFonts w:hint="eastAsia" w:ascii="仿宋" w:hAnsi="仿宋" w:eastAsia="仿宋" w:cs="仿宋"/>
          <w:sz w:val="32"/>
          <w:szCs w:val="32"/>
        </w:rPr>
        <w:t>实行雨污分流系统，防止水体污染。</w:t>
      </w:r>
    </w:p>
    <w:p>
      <w:pPr>
        <w:rPr>
          <w:rFonts w:ascii="仿宋" w:hAnsi="仿宋" w:eastAsia="仿宋" w:cs="仿宋"/>
          <w:sz w:val="32"/>
          <w:szCs w:val="32"/>
        </w:rPr>
      </w:pPr>
    </w:p>
    <w:p>
      <w:pPr>
        <w:rPr>
          <w:rFonts w:ascii="仿宋" w:hAnsi="仿宋" w:eastAsia="仿宋" w:cs="仿宋"/>
          <w:sz w:val="32"/>
          <w:szCs w:val="32"/>
        </w:rPr>
      </w:pPr>
      <w:r>
        <w:rPr>
          <w:rFonts w:hint="eastAsia" w:ascii="仿宋" w:hAnsi="仿宋" w:eastAsia="仿宋" w:cs="仿宋"/>
          <w:sz w:val="32"/>
          <w:szCs w:val="32"/>
        </w:rPr>
        <w:t>附图：</w:t>
      </w:r>
    </w:p>
    <w:p>
      <w:pPr>
        <w:spacing w:line="276" w:lineRule="auto"/>
        <w:ind w:left="357"/>
        <w:jc w:val="center"/>
        <w:rPr>
          <w:rFonts w:hint="eastAsia"/>
          <w:sz w:val="36"/>
          <w:szCs w:val="44"/>
        </w:rPr>
      </w:pPr>
      <w:r>
        <w:rPr>
          <w:rFonts w:hint="eastAsia"/>
          <w:sz w:val="36"/>
          <w:szCs w:val="44"/>
          <w:lang w:eastAsia="zh-CN"/>
        </w:rPr>
        <w:t>安徽淮南田家庵经济开发区东</w:t>
      </w:r>
      <w:r>
        <w:rPr>
          <w:rFonts w:hint="eastAsia"/>
          <w:sz w:val="36"/>
          <w:szCs w:val="44"/>
        </w:rPr>
        <w:t>片区</w:t>
      </w:r>
      <w:r>
        <w:rPr>
          <w:rFonts w:hint="eastAsia"/>
          <w:sz w:val="36"/>
          <w:szCs w:val="44"/>
          <w:lang w:val="en-US" w:eastAsia="zh-CN"/>
        </w:rPr>
        <w:t>1</w:t>
      </w:r>
      <w:r>
        <w:rPr>
          <w:rFonts w:hint="eastAsia"/>
          <w:sz w:val="36"/>
          <w:szCs w:val="44"/>
        </w:rPr>
        <w:t>土地征收成片开发方案</w:t>
      </w:r>
    </w:p>
    <w:p>
      <w:pPr>
        <w:spacing w:line="240" w:lineRule="auto"/>
        <w:ind w:left="357"/>
        <w:rPr>
          <w:rFonts w:hint="eastAsia" w:eastAsia="宋体"/>
          <w:sz w:val="28"/>
          <w:szCs w:val="36"/>
          <w:lang w:eastAsia="zh-CN"/>
        </w:rPr>
      </w:pPr>
      <w:r>
        <w:rPr>
          <w:rFonts w:hint="eastAsia" w:eastAsia="宋体"/>
          <w:sz w:val="28"/>
          <w:szCs w:val="36"/>
          <w:lang w:eastAsia="zh-CN"/>
        </w:rPr>
        <w:drawing>
          <wp:inline distT="0" distB="0" distL="114300" distR="114300">
            <wp:extent cx="5266055" cy="3381375"/>
            <wp:effectExtent l="0" t="0" r="6985" b="1905"/>
            <wp:docPr id="2" name="图片 2" descr="H:/8月/828淮南改/02东片区/00图件/01片区位置图1122v1.jpg01片区位置图1122v1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H:/8月/828淮南改/02东片区/00图件/01片区位置图1122v1.jpg01片区位置图1122v1"/>
                    <pic:cNvPicPr>
                      <a:picLocks noChangeAspect="true"/>
                    </pic:cNvPicPr>
                  </pic:nvPicPr>
                  <pic:blipFill>
                    <a:blip r:embed="rId4"/>
                    <a:srcRect l="68" r="68" b="9300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3381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240" w:lineRule="auto"/>
        <w:ind w:left="357"/>
        <w:jc w:val="left"/>
        <w:rPr>
          <w:rFonts w:hint="eastAsia" w:eastAsia="宋体"/>
          <w:sz w:val="28"/>
          <w:szCs w:val="36"/>
          <w:lang w:eastAsia="zh-CN"/>
        </w:rPr>
      </w:pPr>
      <w:r>
        <w:rPr>
          <w:rFonts w:hint="eastAsia" w:eastAsia="宋体"/>
          <w:sz w:val="28"/>
          <w:szCs w:val="36"/>
          <w:lang w:eastAsia="zh-CN"/>
        </w:rPr>
        <w:drawing>
          <wp:inline distT="0" distB="0" distL="114300" distR="114300">
            <wp:extent cx="4794885" cy="3085465"/>
            <wp:effectExtent l="0" t="0" r="5715" b="8255"/>
            <wp:docPr id="1" name="图片 1" descr="H:/8月/828淮南改/02东片区/00图件/03用地规划图1.jpg03用地规划图1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H:/8月/828淮南改/02东片区/00图件/03用地规划图1.jpg03用地规划图1"/>
                    <pic:cNvPicPr>
                      <a:picLocks noChangeAspect="true"/>
                    </pic:cNvPicPr>
                  </pic:nvPicPr>
                  <pic:blipFill>
                    <a:blip r:embed="rId5"/>
                    <a:srcRect l="9" r="9" b="8990"/>
                    <a:stretch>
                      <a:fillRect/>
                    </a:stretch>
                  </pic:blipFill>
                  <pic:spPr>
                    <a:xfrm>
                      <a:off x="0" y="0"/>
                      <a:ext cx="4794885" cy="3085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440" w:lineRule="exact"/>
        <w:ind w:left="357"/>
        <w:rPr>
          <w:rFonts w:hint="eastAsia"/>
          <w:sz w:val="28"/>
          <w:szCs w:val="36"/>
        </w:rPr>
      </w:pPr>
    </w:p>
    <w:p>
      <w:pPr>
        <w:spacing w:line="440" w:lineRule="exact"/>
        <w:ind w:left="357"/>
        <w:rPr>
          <w:rFonts w:hint="default" w:eastAsia="宋体"/>
          <w:sz w:val="28"/>
          <w:szCs w:val="36"/>
          <w:lang w:val="en-US" w:eastAsia="zh-CN"/>
        </w:rPr>
      </w:pPr>
    </w:p>
    <w:p>
      <w:pPr>
        <w:spacing w:line="440" w:lineRule="exact"/>
        <w:rPr>
          <w:sz w:val="28"/>
          <w:szCs w:val="36"/>
        </w:rPr>
      </w:pPr>
    </w:p>
    <w:sectPr>
      <w:pgSz w:w="11906" w:h="16838"/>
      <w:pgMar w:top="1660" w:right="1800" w:bottom="1738" w:left="1800" w:header="851" w:footer="992" w:gutter="0"/>
      <w:cols w:space="720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altName w:val="DejaVu Sans"/>
    <w:panose1 w:val="02020603050405020304"/>
    <w:charset w:val="86"/>
    <w:family w:val="roman"/>
    <w:pitch w:val="default"/>
    <w:sig w:usb0="00000000" w:usb1="00000000" w:usb2="00000009" w:usb3="00000000" w:csb0="400001FF" w:csb1="FFFF0000"/>
  </w:font>
  <w:font w:name="宋体">
    <w:altName w:val="方正书宋_GBK"/>
    <w:panose1 w:val="02010600030101010101"/>
    <w:charset w:val="88"/>
    <w:family w:val="modern"/>
    <w:pitch w:val="default"/>
    <w:sig w:usb0="00000000" w:usb1="0000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altName w:val="DejaVu Sans"/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altName w:val="方正黑体_GBK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altName w:val="DejaVu Sans"/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2000609000000000000"/>
    <w:charset w:val="02"/>
    <w:family w:val="roman"/>
    <w:pitch w:val="default"/>
    <w:sig w:usb0="800000AF" w:usb1="4000204A" w:usb2="00000000" w:usb3="00000000" w:csb0="20000000" w:csb1="00000000"/>
  </w:font>
  <w:font w:name="Calibri">
    <w:altName w:val="DejaVu Sans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仿宋">
    <w:altName w:val="方正仿宋_GBK"/>
    <w:panose1 w:val="02010609060101010101"/>
    <w:charset w:val="86"/>
    <w:family w:val="modern"/>
    <w:pitch w:val="default"/>
    <w:sig w:usb0="00000000" w:usb1="00000000" w:usb2="00000016" w:usb3="00000000" w:csb0="00040001" w:csb1="00000000"/>
  </w:font>
  <w:font w:name="方正书宋_GBK">
    <w:panose1 w:val="02000000000000000000"/>
    <w:charset w:val="86"/>
    <w:family w:val="auto"/>
    <w:pitch w:val="default"/>
    <w:sig w:usb0="00000001" w:usb1="08000000" w:usb2="00000000" w:usb3="00000000" w:csb0="00040000" w:csb1="00000000"/>
  </w:font>
  <w:font w:name="方正黑体_GBK">
    <w:panose1 w:val="02000000000000000000"/>
    <w:charset w:val="86"/>
    <w:family w:val="auto"/>
    <w:pitch w:val="default"/>
    <w:sig w:usb0="00000001" w:usb1="08000000" w:usb2="00000000" w:usb3="00000000" w:csb0="00040000" w:csb1="00000000"/>
  </w:font>
  <w:font w:name="方正仿宋_GBK">
    <w:panose1 w:val="02000000000000000000"/>
    <w:charset w:val="86"/>
    <w:family w:val="auto"/>
    <w:pitch w:val="default"/>
    <w:sig w:usb0="00000001" w:usb1="08000000" w:usb2="00000000" w:usb3="00000000" w:csb0="00040000" w:csb1="00000000"/>
  </w:font>
  <w:font w:name="DejaVu Sans">
    <w:panose1 w:val="020B0603030804020204"/>
    <w:charset w:val="00"/>
    <w:family w:val="auto"/>
    <w:pitch w:val="default"/>
    <w:sig w:usb0="E7006EFF" w:usb1="D200FDFF" w:usb2="0A246029" w:usb3="0400200C" w:csb0="600001FF" w:csb1="DFFF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7A8AE295"/>
    <w:multiLevelType w:val="singleLevel"/>
    <w:tmpl w:val="7A8AE295"/>
    <w:lvl w:ilvl="0" w:tentative="0">
      <w:start w:val="1"/>
      <w:numFmt w:val="chineseCounting"/>
      <w:suff w:val="nothing"/>
      <w:lvlText w:val="%1、"/>
      <w:lvlJc w:val="left"/>
      <w:rPr>
        <w:rFonts w:hint="eastAsia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90"/>
  <w:bordersDoNotSurroundHeader w:val="true"/>
  <w:bordersDoNotSurroundFooter w:val="true"/>
  <w:documentProtection w:enforcement="0"/>
  <w:defaultTabStop w:val="420"/>
  <w:drawingGridHorizontalSpacing w:val="105"/>
  <w:drawingGridVerticalSpacing w:val="156"/>
  <w:noPunctuationKerning w:val="true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NGJkNjY2ODU5YjhhOTliYzEwNzYyOTFlMzQ1MTkwYmIifQ=="/>
  </w:docVars>
  <w:rsids>
    <w:rsidRoot w:val="00EE080E"/>
    <w:rsid w:val="0000163B"/>
    <w:rsid w:val="000129C0"/>
    <w:rsid w:val="00015C5C"/>
    <w:rsid w:val="00016227"/>
    <w:rsid w:val="000164E4"/>
    <w:rsid w:val="0002074F"/>
    <w:rsid w:val="000263CA"/>
    <w:rsid w:val="00034825"/>
    <w:rsid w:val="000352BC"/>
    <w:rsid w:val="000361BF"/>
    <w:rsid w:val="000423A5"/>
    <w:rsid w:val="00045427"/>
    <w:rsid w:val="00047D8B"/>
    <w:rsid w:val="0006590C"/>
    <w:rsid w:val="000660BF"/>
    <w:rsid w:val="0006626F"/>
    <w:rsid w:val="00067823"/>
    <w:rsid w:val="000702D8"/>
    <w:rsid w:val="00072666"/>
    <w:rsid w:val="00075A29"/>
    <w:rsid w:val="00080F14"/>
    <w:rsid w:val="0008739D"/>
    <w:rsid w:val="00087820"/>
    <w:rsid w:val="0009034C"/>
    <w:rsid w:val="00094D7D"/>
    <w:rsid w:val="000A2D96"/>
    <w:rsid w:val="000A44F7"/>
    <w:rsid w:val="000A5A64"/>
    <w:rsid w:val="000B2062"/>
    <w:rsid w:val="000D0AEC"/>
    <w:rsid w:val="000D4916"/>
    <w:rsid w:val="000F3072"/>
    <w:rsid w:val="00112D3A"/>
    <w:rsid w:val="00113C96"/>
    <w:rsid w:val="001246A9"/>
    <w:rsid w:val="001321EF"/>
    <w:rsid w:val="0014369F"/>
    <w:rsid w:val="00145EF6"/>
    <w:rsid w:val="00146004"/>
    <w:rsid w:val="00147D0E"/>
    <w:rsid w:val="001503DA"/>
    <w:rsid w:val="001541C4"/>
    <w:rsid w:val="00167C3E"/>
    <w:rsid w:val="001730FC"/>
    <w:rsid w:val="00177F89"/>
    <w:rsid w:val="00183717"/>
    <w:rsid w:val="00190768"/>
    <w:rsid w:val="00192F35"/>
    <w:rsid w:val="001A318B"/>
    <w:rsid w:val="001A478C"/>
    <w:rsid w:val="001B49DB"/>
    <w:rsid w:val="001B6385"/>
    <w:rsid w:val="001C5EC0"/>
    <w:rsid w:val="00202E06"/>
    <w:rsid w:val="00204CE0"/>
    <w:rsid w:val="00211594"/>
    <w:rsid w:val="00221241"/>
    <w:rsid w:val="00221316"/>
    <w:rsid w:val="00224E03"/>
    <w:rsid w:val="00225CBF"/>
    <w:rsid w:val="002313CE"/>
    <w:rsid w:val="00234BB2"/>
    <w:rsid w:val="00243F8C"/>
    <w:rsid w:val="00254B00"/>
    <w:rsid w:val="0026317E"/>
    <w:rsid w:val="002648C7"/>
    <w:rsid w:val="00266002"/>
    <w:rsid w:val="00281B86"/>
    <w:rsid w:val="00297143"/>
    <w:rsid w:val="002A19C1"/>
    <w:rsid w:val="002A6C52"/>
    <w:rsid w:val="002B29B8"/>
    <w:rsid w:val="002B4FA2"/>
    <w:rsid w:val="002B5990"/>
    <w:rsid w:val="002B7D5F"/>
    <w:rsid w:val="002C33F5"/>
    <w:rsid w:val="002C5A82"/>
    <w:rsid w:val="002D1663"/>
    <w:rsid w:val="002D1969"/>
    <w:rsid w:val="002D32DF"/>
    <w:rsid w:val="002D4BCE"/>
    <w:rsid w:val="002D5B62"/>
    <w:rsid w:val="002F3494"/>
    <w:rsid w:val="002F45A3"/>
    <w:rsid w:val="002F5A0B"/>
    <w:rsid w:val="002F73C0"/>
    <w:rsid w:val="0030005A"/>
    <w:rsid w:val="00316E17"/>
    <w:rsid w:val="0033224A"/>
    <w:rsid w:val="00344B6B"/>
    <w:rsid w:val="00351691"/>
    <w:rsid w:val="00364BA1"/>
    <w:rsid w:val="003654EE"/>
    <w:rsid w:val="00375EA1"/>
    <w:rsid w:val="00375F98"/>
    <w:rsid w:val="003843D0"/>
    <w:rsid w:val="00394E20"/>
    <w:rsid w:val="003A1727"/>
    <w:rsid w:val="003A59EC"/>
    <w:rsid w:val="003B15B4"/>
    <w:rsid w:val="003C5F42"/>
    <w:rsid w:val="003D19C5"/>
    <w:rsid w:val="003D495F"/>
    <w:rsid w:val="003D5477"/>
    <w:rsid w:val="003E0548"/>
    <w:rsid w:val="003E0BA2"/>
    <w:rsid w:val="003E6134"/>
    <w:rsid w:val="003F2AB3"/>
    <w:rsid w:val="00401062"/>
    <w:rsid w:val="00401D67"/>
    <w:rsid w:val="004030ED"/>
    <w:rsid w:val="00404EEC"/>
    <w:rsid w:val="00405466"/>
    <w:rsid w:val="00407933"/>
    <w:rsid w:val="004143C4"/>
    <w:rsid w:val="00417498"/>
    <w:rsid w:val="004207DF"/>
    <w:rsid w:val="00423E67"/>
    <w:rsid w:val="00425A15"/>
    <w:rsid w:val="00430A98"/>
    <w:rsid w:val="00431828"/>
    <w:rsid w:val="00433EC2"/>
    <w:rsid w:val="0045343D"/>
    <w:rsid w:val="00455983"/>
    <w:rsid w:val="004661C7"/>
    <w:rsid w:val="00476EA5"/>
    <w:rsid w:val="00483532"/>
    <w:rsid w:val="0048560A"/>
    <w:rsid w:val="00485D6D"/>
    <w:rsid w:val="00490722"/>
    <w:rsid w:val="00491DA2"/>
    <w:rsid w:val="0049290A"/>
    <w:rsid w:val="004A6ACC"/>
    <w:rsid w:val="004B514B"/>
    <w:rsid w:val="004C0FBF"/>
    <w:rsid w:val="004C13C9"/>
    <w:rsid w:val="004C3CAB"/>
    <w:rsid w:val="00500290"/>
    <w:rsid w:val="0050065B"/>
    <w:rsid w:val="00501F37"/>
    <w:rsid w:val="00515176"/>
    <w:rsid w:val="00517D1C"/>
    <w:rsid w:val="005251C3"/>
    <w:rsid w:val="00544513"/>
    <w:rsid w:val="00572530"/>
    <w:rsid w:val="00572998"/>
    <w:rsid w:val="00574D15"/>
    <w:rsid w:val="00575733"/>
    <w:rsid w:val="0057718F"/>
    <w:rsid w:val="00593878"/>
    <w:rsid w:val="005944CF"/>
    <w:rsid w:val="005A1755"/>
    <w:rsid w:val="005B03E5"/>
    <w:rsid w:val="005C0886"/>
    <w:rsid w:val="005C3FB2"/>
    <w:rsid w:val="005E181A"/>
    <w:rsid w:val="005E6250"/>
    <w:rsid w:val="005F241C"/>
    <w:rsid w:val="005F7565"/>
    <w:rsid w:val="006204BA"/>
    <w:rsid w:val="0064371C"/>
    <w:rsid w:val="00644B0C"/>
    <w:rsid w:val="00645A77"/>
    <w:rsid w:val="00654CA5"/>
    <w:rsid w:val="00657442"/>
    <w:rsid w:val="00680A5A"/>
    <w:rsid w:val="00693C52"/>
    <w:rsid w:val="00693C7A"/>
    <w:rsid w:val="006B5CE0"/>
    <w:rsid w:val="006C2501"/>
    <w:rsid w:val="006E064E"/>
    <w:rsid w:val="006F29D8"/>
    <w:rsid w:val="006F2FFD"/>
    <w:rsid w:val="006F3555"/>
    <w:rsid w:val="00700537"/>
    <w:rsid w:val="00702417"/>
    <w:rsid w:val="007043AF"/>
    <w:rsid w:val="0070595C"/>
    <w:rsid w:val="0071390B"/>
    <w:rsid w:val="007155CA"/>
    <w:rsid w:val="007227EF"/>
    <w:rsid w:val="00741E0A"/>
    <w:rsid w:val="00742FD6"/>
    <w:rsid w:val="00743723"/>
    <w:rsid w:val="00753BE0"/>
    <w:rsid w:val="0075480F"/>
    <w:rsid w:val="00763272"/>
    <w:rsid w:val="0077596B"/>
    <w:rsid w:val="007975C1"/>
    <w:rsid w:val="007A4DC0"/>
    <w:rsid w:val="007B29BC"/>
    <w:rsid w:val="007C1665"/>
    <w:rsid w:val="007D6372"/>
    <w:rsid w:val="007D751C"/>
    <w:rsid w:val="007F00A6"/>
    <w:rsid w:val="00800A28"/>
    <w:rsid w:val="008021E2"/>
    <w:rsid w:val="008062F3"/>
    <w:rsid w:val="00807559"/>
    <w:rsid w:val="00815F7E"/>
    <w:rsid w:val="008224F5"/>
    <w:rsid w:val="0082589B"/>
    <w:rsid w:val="00846017"/>
    <w:rsid w:val="00850E81"/>
    <w:rsid w:val="00851D2F"/>
    <w:rsid w:val="00852BD3"/>
    <w:rsid w:val="00854078"/>
    <w:rsid w:val="00872A5D"/>
    <w:rsid w:val="008849B2"/>
    <w:rsid w:val="00894818"/>
    <w:rsid w:val="0089587D"/>
    <w:rsid w:val="00895882"/>
    <w:rsid w:val="008A17E2"/>
    <w:rsid w:val="008A40EE"/>
    <w:rsid w:val="008A5AA3"/>
    <w:rsid w:val="008B346E"/>
    <w:rsid w:val="008B7B64"/>
    <w:rsid w:val="008C268D"/>
    <w:rsid w:val="008C4646"/>
    <w:rsid w:val="008D3D83"/>
    <w:rsid w:val="008D57D9"/>
    <w:rsid w:val="008D6CAF"/>
    <w:rsid w:val="008E0EBC"/>
    <w:rsid w:val="008E2D7E"/>
    <w:rsid w:val="008E31E5"/>
    <w:rsid w:val="008F097A"/>
    <w:rsid w:val="008F5A8A"/>
    <w:rsid w:val="00904D0D"/>
    <w:rsid w:val="009112B0"/>
    <w:rsid w:val="0091561C"/>
    <w:rsid w:val="00925304"/>
    <w:rsid w:val="00926958"/>
    <w:rsid w:val="00943789"/>
    <w:rsid w:val="00950248"/>
    <w:rsid w:val="0095288D"/>
    <w:rsid w:val="0095315F"/>
    <w:rsid w:val="00956039"/>
    <w:rsid w:val="00956458"/>
    <w:rsid w:val="0096147C"/>
    <w:rsid w:val="0097040E"/>
    <w:rsid w:val="00970C70"/>
    <w:rsid w:val="00975F9E"/>
    <w:rsid w:val="00982D42"/>
    <w:rsid w:val="00984AE4"/>
    <w:rsid w:val="009A335E"/>
    <w:rsid w:val="009A3A08"/>
    <w:rsid w:val="009B1356"/>
    <w:rsid w:val="009B51E2"/>
    <w:rsid w:val="009C1104"/>
    <w:rsid w:val="009C4097"/>
    <w:rsid w:val="009E294A"/>
    <w:rsid w:val="009E5632"/>
    <w:rsid w:val="009F30C8"/>
    <w:rsid w:val="009F6F05"/>
    <w:rsid w:val="00A0237C"/>
    <w:rsid w:val="00A1579F"/>
    <w:rsid w:val="00A20B5A"/>
    <w:rsid w:val="00A30D92"/>
    <w:rsid w:val="00A33D73"/>
    <w:rsid w:val="00A4444E"/>
    <w:rsid w:val="00A5253B"/>
    <w:rsid w:val="00A56F7C"/>
    <w:rsid w:val="00A607DC"/>
    <w:rsid w:val="00A62D26"/>
    <w:rsid w:val="00A704A3"/>
    <w:rsid w:val="00A71655"/>
    <w:rsid w:val="00A92D86"/>
    <w:rsid w:val="00A97EFC"/>
    <w:rsid w:val="00AA44A8"/>
    <w:rsid w:val="00AA6E08"/>
    <w:rsid w:val="00AA7FE4"/>
    <w:rsid w:val="00AB662D"/>
    <w:rsid w:val="00AC2288"/>
    <w:rsid w:val="00AD3EB1"/>
    <w:rsid w:val="00AD5B56"/>
    <w:rsid w:val="00AE7F4B"/>
    <w:rsid w:val="00AF4DEA"/>
    <w:rsid w:val="00B03A6F"/>
    <w:rsid w:val="00B0569F"/>
    <w:rsid w:val="00B14786"/>
    <w:rsid w:val="00B15B0C"/>
    <w:rsid w:val="00B206C8"/>
    <w:rsid w:val="00B21B5E"/>
    <w:rsid w:val="00B40A8D"/>
    <w:rsid w:val="00B46038"/>
    <w:rsid w:val="00B54D69"/>
    <w:rsid w:val="00B55043"/>
    <w:rsid w:val="00B55290"/>
    <w:rsid w:val="00B61AEB"/>
    <w:rsid w:val="00B61B86"/>
    <w:rsid w:val="00B71C7C"/>
    <w:rsid w:val="00B72820"/>
    <w:rsid w:val="00B83460"/>
    <w:rsid w:val="00B9040D"/>
    <w:rsid w:val="00BB431B"/>
    <w:rsid w:val="00BE0C4E"/>
    <w:rsid w:val="00BE1B6B"/>
    <w:rsid w:val="00BE1D70"/>
    <w:rsid w:val="00BF0951"/>
    <w:rsid w:val="00BF5BC8"/>
    <w:rsid w:val="00BF6130"/>
    <w:rsid w:val="00C02D00"/>
    <w:rsid w:val="00C1154B"/>
    <w:rsid w:val="00C2538E"/>
    <w:rsid w:val="00C26063"/>
    <w:rsid w:val="00C37B85"/>
    <w:rsid w:val="00C44A82"/>
    <w:rsid w:val="00C5175D"/>
    <w:rsid w:val="00C54436"/>
    <w:rsid w:val="00C56352"/>
    <w:rsid w:val="00C640DE"/>
    <w:rsid w:val="00C66EAC"/>
    <w:rsid w:val="00C74919"/>
    <w:rsid w:val="00C909B2"/>
    <w:rsid w:val="00C953AF"/>
    <w:rsid w:val="00C9732F"/>
    <w:rsid w:val="00C97AD2"/>
    <w:rsid w:val="00CA0C23"/>
    <w:rsid w:val="00CB3E79"/>
    <w:rsid w:val="00CC0115"/>
    <w:rsid w:val="00CC6C06"/>
    <w:rsid w:val="00CC70E6"/>
    <w:rsid w:val="00CE3D1B"/>
    <w:rsid w:val="00CE6A10"/>
    <w:rsid w:val="00D01EA8"/>
    <w:rsid w:val="00D10E25"/>
    <w:rsid w:val="00D127B3"/>
    <w:rsid w:val="00D16F6B"/>
    <w:rsid w:val="00D374F1"/>
    <w:rsid w:val="00D37D37"/>
    <w:rsid w:val="00D430BC"/>
    <w:rsid w:val="00D54371"/>
    <w:rsid w:val="00D55F84"/>
    <w:rsid w:val="00D61099"/>
    <w:rsid w:val="00D72527"/>
    <w:rsid w:val="00DA1D23"/>
    <w:rsid w:val="00DA49DF"/>
    <w:rsid w:val="00DA4FF3"/>
    <w:rsid w:val="00DB4A78"/>
    <w:rsid w:val="00DC1752"/>
    <w:rsid w:val="00DC5CCD"/>
    <w:rsid w:val="00DE3BC1"/>
    <w:rsid w:val="00E01C39"/>
    <w:rsid w:val="00E1728E"/>
    <w:rsid w:val="00E23E58"/>
    <w:rsid w:val="00E2484D"/>
    <w:rsid w:val="00E2671E"/>
    <w:rsid w:val="00E441F1"/>
    <w:rsid w:val="00E51EC0"/>
    <w:rsid w:val="00E55171"/>
    <w:rsid w:val="00E612AD"/>
    <w:rsid w:val="00E61D3A"/>
    <w:rsid w:val="00E871F3"/>
    <w:rsid w:val="00E91A88"/>
    <w:rsid w:val="00E924C7"/>
    <w:rsid w:val="00EA0DF6"/>
    <w:rsid w:val="00EA4BF0"/>
    <w:rsid w:val="00EC4A13"/>
    <w:rsid w:val="00EC502A"/>
    <w:rsid w:val="00ED12C6"/>
    <w:rsid w:val="00ED29B2"/>
    <w:rsid w:val="00EE080E"/>
    <w:rsid w:val="00EE1CF4"/>
    <w:rsid w:val="00EE3DF3"/>
    <w:rsid w:val="00EF243C"/>
    <w:rsid w:val="00F1147B"/>
    <w:rsid w:val="00F21932"/>
    <w:rsid w:val="00F23397"/>
    <w:rsid w:val="00F25E5C"/>
    <w:rsid w:val="00F30869"/>
    <w:rsid w:val="00F572D0"/>
    <w:rsid w:val="00F77843"/>
    <w:rsid w:val="00F80088"/>
    <w:rsid w:val="00F800AC"/>
    <w:rsid w:val="00F830EB"/>
    <w:rsid w:val="00FA151B"/>
    <w:rsid w:val="00FC0792"/>
    <w:rsid w:val="00FE1A52"/>
    <w:rsid w:val="00FE5A43"/>
    <w:rsid w:val="00FF7446"/>
    <w:rsid w:val="05D610DF"/>
    <w:rsid w:val="06C52743"/>
    <w:rsid w:val="0A1C264C"/>
    <w:rsid w:val="14721060"/>
    <w:rsid w:val="16255C9A"/>
    <w:rsid w:val="1733076F"/>
    <w:rsid w:val="1B6F0D41"/>
    <w:rsid w:val="1C0F1DA0"/>
    <w:rsid w:val="1F5D2184"/>
    <w:rsid w:val="247E76DD"/>
    <w:rsid w:val="24A236CB"/>
    <w:rsid w:val="253A0459"/>
    <w:rsid w:val="25D65CCD"/>
    <w:rsid w:val="2D3728AF"/>
    <w:rsid w:val="2FD33718"/>
    <w:rsid w:val="3243796C"/>
    <w:rsid w:val="34CA788B"/>
    <w:rsid w:val="372A1500"/>
    <w:rsid w:val="38B60010"/>
    <w:rsid w:val="39C946F0"/>
    <w:rsid w:val="3EFF55FB"/>
    <w:rsid w:val="43EE071F"/>
    <w:rsid w:val="45371F01"/>
    <w:rsid w:val="4B62227F"/>
    <w:rsid w:val="4D2057D5"/>
    <w:rsid w:val="509265A2"/>
    <w:rsid w:val="55AC6E46"/>
    <w:rsid w:val="59355610"/>
    <w:rsid w:val="5D2050FF"/>
    <w:rsid w:val="60754747"/>
    <w:rsid w:val="62375BD7"/>
    <w:rsid w:val="66EC39EF"/>
    <w:rsid w:val="69945656"/>
    <w:rsid w:val="6BA94084"/>
    <w:rsid w:val="6FF87EA0"/>
    <w:rsid w:val="753E1210"/>
    <w:rsid w:val="774F7231"/>
    <w:rsid w:val="7D89010F"/>
    <w:rsid w:val="7F5F2777"/>
    <w:rsid w:val="8CCEF968"/>
    <w:rsid w:val="BBFABD71"/>
    <w:rsid w:val="BF5BBF36"/>
    <w:rsid w:val="DB5F63F1"/>
    <w:rsid w:val="DF9F336C"/>
  </w:rsids>
  <m:mathPr>
    <m:mathFont m:val="Cambria Math"/>
    <m:brkBin m:val="before"/>
    <m:brkBinSub m:val="--"/>
    <m:smallFrac m:val="1"/>
    <m:dispDef/>
    <m:lMargin m:val="0"/>
    <m:rMargin m:val="0"/>
    <m:defJc m:val="centerGroup"/>
    <m:wrapIndent m:val="1440"/>
    <m:intLim m:val="subSup"/>
    <m:naryLim m:val="undOvr"/>
  </m:mathPr>
  <w:doNotAutoCompressPictures/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22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99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iPriority="0" w:name="Table Simple 1"/>
    <w:lsdException w:uiPriority="0" w:name="Table Simple 2"/>
    <w:lsdException w:uiPriority="0" w:name="Table Simple 3"/>
    <w:lsdException w:uiPriority="0" w:name="Table Classic 1"/>
    <w:lsdException w:uiPriority="0" w:name="Table Classic 2"/>
    <w:lsdException w:uiPriority="0" w:name="Table Classic 3"/>
    <w:lsdException w:uiPriority="0" w:name="Table Classic 4"/>
    <w:lsdException w:uiPriority="0" w:name="Table Colorful 1"/>
    <w:lsdException w:uiPriority="0" w:name="Table Colorful 2"/>
    <w:lsdException w:uiPriority="0" w:name="Table Colorful 3"/>
    <w:lsdException w:uiPriority="0" w:name="Table Columns 1"/>
    <w:lsdException w:uiPriority="0" w:name="Table Columns 2"/>
    <w:lsdException w:uiPriority="0" w:name="Table Columns 3"/>
    <w:lsdException w:uiPriority="0" w:name="Table Columns 4"/>
    <w:lsdException w:uiPriority="0" w:name="Table Columns 5"/>
    <w:lsdException w:uiPriority="0" w:name="Table Grid 1"/>
    <w:lsdException w:uiPriority="0" w:name="Table Grid 2"/>
    <w:lsdException w:uiPriority="0" w:name="Table Grid 3"/>
    <w:lsdException w:uiPriority="0" w:name="Table Grid 4"/>
    <w:lsdException w:uiPriority="0" w:name="Table Grid 5"/>
    <w:lsdException w:uiPriority="0" w:name="Table Grid 6"/>
    <w:lsdException w:uiPriority="0" w:name="Table Grid 7"/>
    <w:lsdException w:uiPriority="0" w:name="Table Grid 8"/>
    <w:lsdException w:uiPriority="0" w:name="Table List 1"/>
    <w:lsdException w:uiPriority="0" w:name="Table List 2"/>
    <w:lsdException w:uiPriority="0" w:name="Table List 3"/>
    <w:lsdException w:uiPriority="0" w:name="Table List 4"/>
    <w:lsdException w:uiPriority="0" w:name="Table List 5"/>
    <w:lsdException w:uiPriority="0" w:name="Table List 6"/>
    <w:lsdException w:uiPriority="0" w:name="Table List 7"/>
    <w:lsdException w:uiPriority="0" w:name="Table List 8"/>
    <w:lsdException w:uiPriority="0" w:name="Table 3D effects 1"/>
    <w:lsdException w:uiPriority="0" w:name="Table 3D effects 2"/>
    <w:lsdException w:uiPriority="0" w:name="Table 3D effects 3"/>
    <w:lsdException w:uiPriority="0" w:name="Table Contemporary"/>
    <w:lsdException w:uiPriority="0" w:name="Table Elegant"/>
    <w:lsdException w:uiPriority="0" w:name="Table Professional"/>
    <w:lsdException w:uiPriority="0" w:name="Table Subtle 1"/>
    <w:lsdException w:uiPriority="0" w:name="Table Subtle 2"/>
    <w:lsdException w:uiPriority="0" w:name="Table Web 1"/>
    <w:lsdException w:uiPriority="0" w:name="Table Web 2"/>
    <w:lsdException w:uiPriority="0" w:name="Table Web 3"/>
    <w:lsdException w:unhideWhenUsed="0" w:uiPriority="0" w:semiHidden="0" w:name="Balloon Text"/>
    <w:lsdException w:unhideWhenUsed="0" w:uiPriority="0" w:semiHidden="0" w:name="Table Grid"/>
    <w:lsdException w:uiPriority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="Calibri" w:hAnsi="Calibri" w:eastAsia="宋体" w:cs="Times New Roman"/>
      <w:kern w:val="2"/>
      <w:sz w:val="21"/>
      <w:szCs w:val="24"/>
      <w:lang w:val="en-US" w:eastAsia="zh-CN" w:bidi="ar-SA"/>
    </w:rPr>
  </w:style>
  <w:style w:type="character" w:default="1" w:styleId="6">
    <w:name w:val="Default Paragraph Font"/>
    <w:semiHidden/>
    <w:unhideWhenUsed/>
    <w:qFormat/>
    <w:uiPriority w:val="1"/>
  </w:style>
  <w:style w:type="table" w:default="1" w:styleId="5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footer"/>
    <w:basedOn w:val="1"/>
    <w:link w:val="8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3">
    <w:name w:val="header"/>
    <w:basedOn w:val="1"/>
    <w:link w:val="9"/>
    <w:qFormat/>
    <w:uiPriority w:val="0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4">
    <w:name w:val="Normal (Web)"/>
    <w:basedOn w:val="1"/>
    <w:qFormat/>
    <w:uiPriority w:val="99"/>
    <w:pPr>
      <w:spacing w:before="100" w:beforeAutospacing="1" w:after="100" w:afterAutospacing="1"/>
      <w:jc w:val="left"/>
    </w:pPr>
    <w:rPr>
      <w:kern w:val="0"/>
      <w:sz w:val="24"/>
    </w:rPr>
  </w:style>
  <w:style w:type="character" w:styleId="7">
    <w:name w:val="Strong"/>
    <w:qFormat/>
    <w:uiPriority w:val="22"/>
    <w:rPr>
      <w:b/>
      <w:bCs/>
    </w:rPr>
  </w:style>
  <w:style w:type="character" w:customStyle="1" w:styleId="8">
    <w:name w:val="页脚 Char"/>
    <w:link w:val="2"/>
    <w:qFormat/>
    <w:uiPriority w:val="0"/>
    <w:rPr>
      <w:rFonts w:ascii="Calibri" w:hAnsi="Calibri"/>
      <w:kern w:val="2"/>
      <w:sz w:val="18"/>
      <w:szCs w:val="18"/>
    </w:rPr>
  </w:style>
  <w:style w:type="character" w:customStyle="1" w:styleId="9">
    <w:name w:val="页眉 Char"/>
    <w:link w:val="3"/>
    <w:qFormat/>
    <w:uiPriority w:val="0"/>
    <w:rPr>
      <w:rFonts w:ascii="Calibri" w:hAnsi="Calibri"/>
      <w:kern w:val="2"/>
      <w:sz w:val="18"/>
      <w:szCs w:val="18"/>
    </w:rPr>
  </w:style>
  <w:style w:type="paragraph" w:customStyle="1" w:styleId="10">
    <w:name w:val="ql-align-justify"/>
    <w:basedOn w:val="1"/>
    <w:qFormat/>
    <w:uiPriority w:val="0"/>
    <w:pPr>
      <w:widowControl/>
      <w:spacing w:before="100" w:beforeAutospacing="1" w:after="100" w:afterAutospacing="1"/>
      <w:jc w:val="left"/>
    </w:pPr>
    <w:rPr>
      <w:rFonts w:ascii="宋体" w:hAnsi="宋体" w:cs="宋体"/>
      <w:kern w:val="0"/>
      <w:sz w:val="24"/>
    </w:rPr>
  </w:style>
</w:style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7" Type="http://schemas.openxmlformats.org/officeDocument/2006/relationships/numbering" Target="numbering.xml"/><Relationship Id="rId6" Type="http://schemas.openxmlformats.org/officeDocument/2006/relationships/customXml" Target="../customXml/item1.xml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true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false"/>
        </a:gradFill>
        <a:gradFill rotWithShape="true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false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true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false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/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4</Pages>
  <Words>1100</Words>
  <Characters>1166</Characters>
  <Lines>8</Lines>
  <Paragraphs>2</Paragraphs>
  <TotalTime>3</TotalTime>
  <ScaleCrop>false</ScaleCrop>
  <LinksUpToDate>false</LinksUpToDate>
  <CharactersWithSpaces>1170</CharactersWithSpaces>
  <Application>WPS Office_11.8.2.10422_F1E327BC-269C-435d-A152-05C5408002CA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2024-05-30T23:36:00Z</dcterms:created>
  <dc:creator>Administrator</dc:creator>
  <cp:lastModifiedBy>HNSW</cp:lastModifiedBy>
  <dcterms:modified xsi:type="dcterms:W3CDTF">2024-10-14T15:45:26Z</dcterms:modified>
  <cp:revision>15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2052-11.8.2.10422</vt:lpwstr>
  </property>
  <property fmtid="{D5CDD505-2E9C-101B-9397-08002B2CF9AE}" pid="3" name="ICV">
    <vt:lpwstr>E9767367A5254370ACEE9CB8A76B5EDE_13</vt:lpwstr>
  </property>
</Properties>
</file>